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2160"/>
          </w:tcPr>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cui_logo.jpeg"/>
                          <pic:cNvPicPr/>
                        </pic:nvPicPr>
                        <pic:blipFill>
                          <a:blip r:embed="rId11"/>
                          <a:stretch>
                            <a:fillRect/>
                          </a:stretch>
                        </pic:blipFill>
                        <pic:spPr>
                          <a:xfrm>
                            <a:off x="0" y="0"/>
                            <a:ext cx="1188720" cy="1188720"/>
                          </a:xfrm>
                          <a:prstGeom prst="rect"/>
                        </pic:spPr>
                      </pic:pic>
                    </a:graphicData>
                  </a:graphic>
                </wp:inline>
              </w:drawing>
            </w:r>
          </w:p>
        </w:tc>
        <w:tc>
          <w:tcPr>
            <w:tcW w:type="dxa" w:w="7200"/>
          </w:tcPr>
          <w:p>
            <w:pPr>
              <w:spacing w:before="280"/>
              <w:jc w:val="left"/>
            </w:pPr>
            <w:r>
              <w:rPr>
                <w:rFonts w:ascii="Times New Roman" w:hAnsi="Times New Roman"/>
                <w:b/>
                <w:i w:val="0"/>
                <w:color w:val="0F172A"/>
                <w:sz w:val="30"/>
              </w:rPr>
              <w:t>COMSATS University Islamabad</w:t>
              <w:br/>
            </w:r>
            <w:r>
              <w:rPr>
                <w:rFonts w:ascii="Times New Roman" w:hAnsi="Times New Roman"/>
                <w:b/>
                <w:i w:val="0"/>
                <w:color w:val="475569"/>
                <w:sz w:val="24"/>
              </w:rPr>
              <w:t>Abbottabad Campus, Pakistan</w:t>
              <w:br/>
              <w:t>Department of Computer Science</w:t>
            </w:r>
          </w:p>
        </w:tc>
      </w:tr>
    </w:tbl>
    <w:p>
      <w:pPr>
        <w:spacing w:before="560" w:after="480" w:line="276" w:lineRule="auto"/>
        <w:jc w:val="center"/>
      </w:pPr>
      <w:r>
        <w:rPr>
          <w:rFonts w:ascii="Times New Roman" w:hAnsi="Times New Roman"/>
          <w:b/>
          <w:i w:val="0"/>
          <w:color w:val="0F766E"/>
          <w:sz w:val="40"/>
        </w:rPr>
        <w:t>HomeEase: Hyper-Local Domestic Worker Connect Platform with Explainable AI Recommendation &amp; Bidirectional Marketplace</w:t>
      </w:r>
    </w:p>
    <w:p>
      <w:pPr>
        <w:spacing w:before="120" w:after="480" w:line="276" w:lineRule="auto"/>
        <w:jc w:val="center"/>
      </w:pPr>
      <w:r>
        <w:rPr>
          <w:rFonts w:ascii="Times New Roman" w:hAnsi="Times New Roman"/>
          <w:b/>
          <w:i/>
          <w:color w:val="334155"/>
          <w:sz w:val="30"/>
        </w:rPr>
        <w:t>60% Evaluation Thesis Report</w:t>
      </w:r>
    </w:p>
    <w:p>
      <w:pPr>
        <w:spacing w:before="80" w:after="480" w:line="276" w:lineRule="auto"/>
        <w:jc w:val="center"/>
      </w:pPr>
      <w:r>
        <w:rPr>
          <w:rFonts w:ascii="Times New Roman" w:hAnsi="Times New Roman"/>
          <w:b w:val="0"/>
          <w:i/>
          <w:color w:val="000000"/>
          <w:sz w:val="22"/>
        </w:rPr>
        <w:t>A project presented in partial fulfillment of the requirements for the degree of</w:t>
        <w:br/>
        <w:t>Bachelor of Science in Software Engineering / Computer Science (Session 2022–2026)</w:t>
      </w:r>
    </w:p>
    <w:p>
      <w:pPr>
        <w:spacing w:before="160" w:after="120" w:line="276" w:lineRule="auto"/>
        <w:jc w:val="center"/>
      </w:pPr>
      <w:r>
        <w:rPr>
          <w:rFonts w:ascii="Times New Roman" w:hAnsi="Times New Roman"/>
          <w:b/>
          <w:i w:val="0"/>
          <w:color w:val="000000"/>
          <w:sz w:val="24"/>
        </w:rPr>
        <w:t>Submitted By: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3744"/>
          </w:tcPr>
          <w:p>
            <w:pPr>
              <w:jc w:val="center"/>
            </w:pPr>
            <w:r>
              <w:rPr>
                <w:rFonts w:ascii="Times New Roman" w:hAnsi="Times New Roman"/>
                <w:b/>
                <w:i w:val="0"/>
                <w:color w:val="000000"/>
                <w:sz w:val="23"/>
              </w:rPr>
              <w:t>Hashir Hamid</w:t>
            </w:r>
          </w:p>
        </w:tc>
        <w:tc>
          <w:tcPr>
            <w:tcW w:type="dxa" w:w="3744"/>
          </w:tcPr>
          <w:p>
            <w:pPr>
              <w:jc w:val="center"/>
            </w:pPr>
            <w:r>
              <w:rPr>
                <w:rFonts w:ascii="Times New Roman" w:hAnsi="Times New Roman"/>
                <w:b w:val="0"/>
                <w:i w:val="0"/>
                <w:color w:val="000000"/>
                <w:sz w:val="22"/>
              </w:rPr>
              <w:t>CIIT/FA22-BSE-139/ATD</w:t>
            </w:r>
          </w:p>
        </w:tc>
      </w:tr>
      <w:tr>
        <w:tc>
          <w:tcPr>
            <w:tcW w:type="dxa" w:w="3744"/>
          </w:tcPr>
          <w:p>
            <w:pPr>
              <w:jc w:val="center"/>
            </w:pPr>
            <w:r>
              <w:rPr>
                <w:rFonts w:ascii="Times New Roman" w:hAnsi="Times New Roman"/>
                <w:b/>
                <w:i w:val="0"/>
                <w:color w:val="000000"/>
                <w:sz w:val="23"/>
              </w:rPr>
              <w:t>Aman Ullah Khan</w:t>
            </w:r>
          </w:p>
        </w:tc>
        <w:tc>
          <w:tcPr>
            <w:tcW w:type="dxa" w:w="3744"/>
          </w:tcPr>
          <w:p>
            <w:pPr>
              <w:jc w:val="center"/>
            </w:pPr>
            <w:r>
              <w:rPr>
                <w:rFonts w:ascii="Times New Roman" w:hAnsi="Times New Roman"/>
                <w:b w:val="0"/>
                <w:i w:val="0"/>
                <w:color w:val="000000"/>
                <w:sz w:val="22"/>
              </w:rPr>
              <w:t>CIIT/FA22-BSE-074/ATD</w:t>
            </w:r>
          </w:p>
        </w:tc>
      </w:tr>
      <w:tr>
        <w:tc>
          <w:tcPr>
            <w:tcW w:type="dxa" w:w="3744"/>
          </w:tcPr>
          <w:p>
            <w:pPr>
              <w:jc w:val="center"/>
            </w:pPr>
            <w:r>
              <w:rPr>
                <w:rFonts w:ascii="Times New Roman" w:hAnsi="Times New Roman"/>
                <w:b/>
                <w:i w:val="0"/>
                <w:color w:val="000000"/>
                <w:sz w:val="23"/>
              </w:rPr>
              <w:t>Umar Saeed</w:t>
            </w:r>
          </w:p>
        </w:tc>
        <w:tc>
          <w:tcPr>
            <w:tcW w:type="dxa" w:w="3744"/>
          </w:tcPr>
          <w:p>
            <w:pPr>
              <w:jc w:val="center"/>
            </w:pPr>
            <w:r>
              <w:rPr>
                <w:rFonts w:ascii="Times New Roman" w:hAnsi="Times New Roman"/>
                <w:b w:val="0"/>
                <w:i w:val="0"/>
                <w:color w:val="000000"/>
                <w:sz w:val="22"/>
              </w:rPr>
              <w:t>CIIT/FA22-BCS-041/ATD</w:t>
            </w:r>
          </w:p>
        </w:tc>
      </w:tr>
    </w:tbl>
    <w:p>
      <w:pPr>
        <w:spacing w:after="280"/>
      </w:pPr>
    </w:p>
    <w:p>
      <w:pPr>
        <w:spacing w:before="160" w:after="480" w:line="276" w:lineRule="auto"/>
        <w:jc w:val="center"/>
      </w:pPr>
      <w:r>
        <w:rPr>
          <w:rFonts w:ascii="Times New Roman" w:hAnsi="Times New Roman"/>
          <w:b/>
          <w:i w:val="0"/>
          <w:color w:val="000000"/>
          <w:sz w:val="24"/>
        </w:rPr>
        <w:t>Supervised By:</w:t>
        <w:br/>
        <w:t>Sir Sumair Khan</w:t>
        <w:br/>
        <w:t>Lecturer, Department of Computer Science</w:t>
      </w:r>
    </w:p>
    <w:p>
      <w:pPr>
        <w:spacing w:before="200" w:after="200" w:line="276" w:lineRule="auto"/>
        <w:jc w:val="center"/>
      </w:pPr>
      <w:r>
        <w:rPr>
          <w:rFonts w:ascii="Times New Roman" w:hAnsi="Times New Roman"/>
          <w:b w:val="0"/>
          <w:i/>
          <w:color w:val="000000"/>
          <w:sz w:val="20"/>
        </w:rPr>
        <w:t>The candidate confirms that the work submitted is their own and appropriate credit has been given where reference has been made to the work of others.</w:t>
      </w:r>
    </w:p>
    <w:p>
      <w:r>
        <w:br w:type="page"/>
      </w:r>
    </w:p>
    <w:p>
      <w:pPr>
        <w:keepNext/>
        <w:spacing w:before="280" w:after="120"/>
      </w:pPr>
      <w:r>
        <w:rPr>
          <w:rFonts w:ascii="Times New Roman" w:hAnsi="Times New Roman"/>
          <w:b/>
          <w:i w:val="0"/>
          <w:color w:val="115E59"/>
          <w:sz w:val="28"/>
        </w:rPr>
        <w:t>Certificate of Approval &amp; Declaration of Authorship</w:t>
      </w:r>
    </w:p>
    <w:p>
      <w:pPr>
        <w:spacing w:before="0" w:after="120" w:line="276" w:lineRule="auto"/>
        <w:jc w:val="left"/>
      </w:pPr>
      <w:r>
        <w:rPr>
          <w:rFonts w:ascii="Times New Roman" w:hAnsi="Times New Roman"/>
          <w:b w:val="0"/>
          <w:i w:val="0"/>
          <w:color w:val="000000"/>
          <w:sz w:val="24"/>
        </w:rPr>
        <w:t>We hereby declare that this 60% Final Year Project Thesis Report entitled "HomeEase: Hyper-Local Domestic Worker Connect Platform with Explainable AI Recommendation and Bidirectional Marketplace" is our own original work. No portion of this work has been submitted in support of any other application for another degree or qualification at this or any other university or institute of learning. Appropriate credit, citations, and references have been duly provided wherever external concepts, libraries, frameworks, or standards have been consulted.</w:t>
      </w:r>
    </w:p>
    <w:p>
      <w:pPr>
        <w:spacing w:before="0" w:after="120" w:line="276" w:lineRule="auto"/>
        <w:jc w:val="left"/>
      </w:pPr>
      <w:r>
        <w:rPr>
          <w:rFonts w:ascii="Times New Roman" w:hAnsi="Times New Roman"/>
          <w:b w:val="0"/>
          <w:i w:val="0"/>
          <w:color w:val="000000"/>
          <w:sz w:val="24"/>
        </w:rPr>
        <w:t>The project has been developed under the academic supervision of Sir Sumair Khan at the Department of Computer Science, COMSATS University Islamabad, Abbottabad Campus. The active system adheres strictly to the directives and scope refinements issued by the FYP Evaluation Committee on 2026-09-29, introducing an authentic Content-Based AI recommendation engine, a bidirectional job marketplace, bilingual (Urdu/English) localization, and an Abbottabad cold-start evaluation dataset.</w:t>
      </w:r>
    </w:p>
    <w:p>
      <w:pPr>
        <w:spacing w:after="56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pPr>
              <w:jc w:val="center"/>
            </w:pPr>
            <w:r>
              <w:rPr>
                <w:rFonts w:ascii="Times New Roman" w:hAnsi="Times New Roman"/>
                <w:b w:val="0"/>
                <w:i w:val="0"/>
                <w:color w:val="000000"/>
                <w:sz w:val="21"/>
              </w:rPr>
              <w:t>____________________</w:t>
              <w:br/>
              <w:t>Hashir Hamid</w:t>
              <w:br/>
              <w:t>(FA22-BSE-139)</w:t>
            </w:r>
          </w:p>
        </w:tc>
        <w:tc>
          <w:tcPr>
            <w:tcW w:type="dxa" w:w="3120"/>
          </w:tcPr>
          <w:p>
            <w:pPr>
              <w:jc w:val="center"/>
            </w:pPr>
            <w:r>
              <w:rPr>
                <w:rFonts w:ascii="Times New Roman" w:hAnsi="Times New Roman"/>
                <w:b w:val="0"/>
                <w:i w:val="0"/>
                <w:color w:val="000000"/>
                <w:sz w:val="21"/>
              </w:rPr>
              <w:t>____________________</w:t>
              <w:br/>
              <w:t>Aman Ullah Khan</w:t>
              <w:br/>
              <w:t>(FA22-BSE-074)</w:t>
            </w:r>
          </w:p>
        </w:tc>
        <w:tc>
          <w:tcPr>
            <w:tcW w:type="dxa" w:w="3120"/>
          </w:tcPr>
          <w:p>
            <w:pPr>
              <w:jc w:val="center"/>
            </w:pPr>
            <w:r>
              <w:rPr>
                <w:rFonts w:ascii="Times New Roman" w:hAnsi="Times New Roman"/>
                <w:b w:val="0"/>
                <w:i w:val="0"/>
                <w:color w:val="000000"/>
                <w:sz w:val="21"/>
              </w:rPr>
              <w:t>____________________</w:t>
              <w:br/>
              <w:t>Umar Saeed</w:t>
              <w:br/>
              <w:t>(FA22-BCS-041)</w:t>
            </w:r>
          </w:p>
        </w:tc>
      </w:tr>
      <w:tr>
        <w:tc>
          <w:tcPr>
            <w:tcW w:type="dxa" w:w="3120"/>
          </w:tcPr>
          <w:p>
            <w:pPr>
              <w:jc w:val="center"/>
            </w:pPr>
          </w:p>
        </w:tc>
        <w:tc>
          <w:tcPr>
            <w:tcW w:type="dxa" w:w="3120"/>
          </w:tcPr>
          <w:p>
            <w:pPr>
              <w:jc w:val="center"/>
            </w:pPr>
            <w:r>
              <w:rPr>
                <w:rFonts w:ascii="Times New Roman" w:hAnsi="Times New Roman"/>
                <w:b w:val="0"/>
                <w:i w:val="0"/>
                <w:color w:val="000000"/>
                <w:sz w:val="21"/>
              </w:rPr>
              <w:br/>
              <w:br/>
              <w:t>____________________</w:t>
              <w:br/>
              <w:t>Sir Sumair Khan</w:t>
              <w:br/>
              <w:t>Project Supervisor</w:t>
            </w:r>
          </w:p>
        </w:tc>
        <w:tc>
          <w:tcPr>
            <w:tcW w:type="dxa" w:w="3120"/>
          </w:tcPr>
          <w:p>
            <w:pPr>
              <w:jc w:val="center"/>
            </w:pPr>
          </w:p>
        </w:tc>
      </w:tr>
    </w:tbl>
    <w:p>
      <w:r>
        <w:br w:type="page"/>
      </w:r>
    </w:p>
    <w:p>
      <w:pPr>
        <w:keepNext/>
        <w:spacing w:before="280" w:after="120"/>
      </w:pPr>
      <w:r>
        <w:rPr>
          <w:rFonts w:ascii="Times New Roman" w:hAnsi="Times New Roman"/>
          <w:b/>
          <w:i w:val="0"/>
          <w:color w:val="115E59"/>
          <w:sz w:val="28"/>
        </w:rPr>
        <w:t>Executive Summary &amp; Abstract</w:t>
      </w:r>
    </w:p>
    <w:p>
      <w:pPr>
        <w:spacing w:before="0" w:after="120" w:line="276" w:lineRule="auto"/>
        <w:jc w:val="left"/>
      </w:pPr>
      <w:r>
        <w:rPr>
          <w:rFonts w:ascii="Times New Roman" w:hAnsi="Times New Roman"/>
          <w:b w:val="0"/>
          <w:i w:val="0"/>
          <w:color w:val="000000"/>
          <w:sz w:val="24"/>
        </w:rPr>
        <w:t>In Pakistan, the domestic informal labor sector—encompassing cooks, cleaners, maids, child nannies, and elderly caregivers—remains largely opaque, decentralized, and governed by informal word-of-mouth networks. This informal hiring paradigm introduces severe friction: households confront safety risks, lack of identity verification, and unpredictable service quality, while domestic workers suffer from arbitrary wage negotiation, undefined task scopes, delayed cash compensations, and lack of professional reputation portability. Furthermore, conventional digital platforms fail in the Pakistani local market because they assume universal English literacy, rely on automated credit card payment gateways that domestic workers cannot access, and employ static database dropdown filters disguised as "recommendations".</w:t>
      </w:r>
    </w:p>
    <w:p>
      <w:pPr>
        <w:spacing w:before="0" w:after="120" w:line="276" w:lineRule="auto"/>
        <w:jc w:val="left"/>
      </w:pPr>
      <w:r>
        <w:rPr>
          <w:rFonts w:ascii="Times New Roman" w:hAnsi="Times New Roman"/>
          <w:b w:val="0"/>
          <w:i w:val="0"/>
          <w:color w:val="000000"/>
          <w:sz w:val="24"/>
        </w:rPr>
        <w:t>To overcome these socio-economic and technical deficits, this project presents HomeEase, a hyper-local domestic worker marketplace designed specifically for local Pakistani dynamics, with primary empirical validation in Abbottabad. HomeEase establishes a structured mobile ecosystem built using Flutter and Dart, backed by Supabase PostgreSQL with Row Level Security (RLS). At this 60% evaluation milestone, HomeEase successfully fulfills the four official mandates issued by the FYP Evaluation Committee: (1) an authentic Content-Based Vector Similarity Recommender System combining Cosine Similarity on skill feature spaces, Haversine geospatial proximity decay, and min-max rating normalization with Explainable AI (XAI) transparent match badges; (2) a Bidirectional Job Marketplace allowing households to publish open gigs and domestic workers to actively browse and apply for local neighborhood opportunities; (3) a Bilingual Urdu/English localization layer (`EN | اردو`) with high-affordance visual task icons tailored for low-literacy informal workers; and (4) an Abbottabad synthetic seed dataset and cold-start evaluation benchmark. This document presents the complete 60% system engineering lifecycle, spanning theoretical foundations, rigorous UML design models, relational schema specifications, algorithmic implementations, and comprehensive verification test suites.</w:t>
      </w:r>
    </w:p>
    <w:p>
      <w:pPr>
        <w:spacing w:after="280"/>
      </w:pPr>
    </w:p>
    <w:p>
      <w:pPr>
        <w:keepNext/>
        <w:spacing w:before="280" w:after="120"/>
      </w:pPr>
      <w:r>
        <w:rPr>
          <w:rFonts w:ascii="Times New Roman" w:hAnsi="Times New Roman"/>
          <w:b/>
          <w:i w:val="0"/>
          <w:color w:val="115E59"/>
          <w:sz w:val="28"/>
        </w:rPr>
        <w:t>Acknowledgements</w:t>
      </w:r>
    </w:p>
    <w:p>
      <w:pPr>
        <w:spacing w:before="0" w:after="120" w:line="276" w:lineRule="auto"/>
        <w:jc w:val="left"/>
      </w:pPr>
      <w:r>
        <w:rPr>
          <w:rFonts w:ascii="Times New Roman" w:hAnsi="Times New Roman"/>
          <w:b w:val="0"/>
          <w:i w:val="0"/>
          <w:color w:val="000000"/>
          <w:sz w:val="24"/>
        </w:rPr>
        <w:t>We express our deepest gratitude to Almighty Allah for bestowing upon us the wisdom, health, and perseverance to accomplish this mid-term 60% software engineering milestone. We extend our sincere appreciation to our project supervisor, Sir Sumair Khan, for his invaluable technical mentorship, constructive critiques, and continuous guidance throughout the architectural design and implementation stages.</w:t>
      </w:r>
    </w:p>
    <w:p>
      <w:pPr>
        <w:spacing w:before="0" w:after="120" w:line="276" w:lineRule="auto"/>
        <w:jc w:val="left"/>
      </w:pPr>
      <w:r>
        <w:rPr>
          <w:rFonts w:ascii="Times New Roman" w:hAnsi="Times New Roman"/>
          <w:b w:val="0"/>
          <w:i w:val="0"/>
          <w:color w:val="000000"/>
          <w:sz w:val="24"/>
        </w:rPr>
        <w:t>We also thank the faculty members of the Department of Computer Science at COMSATS University Islamabad, Abbottabad Campus, for their rigorous evaluation feedback during the 30% milestone review, which fundamentally elevated the technical depth of this project. Lastly, we owe immense appreciation to our families, fellow students, and our technical mentor AbuZar Babar for their unwavering encouragement, collaborative discussions, and continuous moral support.</w:t>
      </w:r>
    </w:p>
    <w:p>
      <w:r>
        <w:br w:type="page"/>
      </w:r>
    </w:p>
    <w:p>
      <w:pPr>
        <w:keepNext/>
        <w:spacing w:before="280" w:after="120"/>
      </w:pPr>
      <w:r>
        <w:rPr>
          <w:rFonts w:ascii="Times New Roman" w:hAnsi="Times New Roman"/>
          <w:b/>
          <w:i w:val="0"/>
          <w:color w:val="115E59"/>
          <w:sz w:val="28"/>
        </w:rPr>
        <w:t>Table of Contents</w:t>
      </w:r>
    </w:p>
    <w:tbl>
      <w:tblPr>
        <w:tblW w:type="auto" w:w="0"/>
        <w:jc w:val="center"/>
        <w:tblLayout w:type="fixed"/>
        <w:tblLook w:firstColumn="1" w:firstRow="1" w:lastColumn="0" w:lastRow="0" w:noHBand="0" w:noVBand="1" w:val="04A0"/>
        <w:tblBorders>
          <w:top w:val="single" w:sz="6" w:space="0" w:color="0F766E"/>
          <w:bottom w:val="single" w:sz="6" w:space="0" w:color="0F766E"/>
          <w:left w:val="none"/>
          <w:right w:val="none"/>
          <w:insideH w:val="single" w:sz="4" w:space="0" w:color="E2E8F0"/>
          <w:insideV w:val="none"/>
        </w:tblBorders>
      </w:tblPr>
      <w:tblGrid>
        <w:gridCol w:w="4680"/>
        <w:gridCol w:w="4680"/>
      </w:tblGrid>
      <w:tr>
        <w:tc>
          <w:tcPr>
            <w:tcW w:type="dxa" w:w="7920"/>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Section Title</w:t>
            </w:r>
          </w:p>
        </w:tc>
        <w:tc>
          <w:tcPr>
            <w:tcW w:type="dxa" w:w="1440"/>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Page</w:t>
            </w:r>
          </w:p>
        </w:tc>
      </w:tr>
      <w:tr>
        <w:tc>
          <w:tcPr>
            <w:tcW w:type="dxa" w:w="792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Certificate of Approval &amp; Declaration of Authorship</w:t>
            </w:r>
          </w:p>
        </w:tc>
        <w:tc>
          <w:tcPr>
            <w:tcW w:type="dxa" w:w="144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ii</w:t>
            </w:r>
          </w:p>
        </w:tc>
      </w:tr>
      <w:tr>
        <w:tc>
          <w:tcPr>
            <w:tcW w:type="dxa" w:w="792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Executive Summary &amp; Abstract</w:t>
            </w:r>
          </w:p>
        </w:tc>
        <w:tc>
          <w:tcPr>
            <w:tcW w:type="dxa" w:w="144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iii</w:t>
            </w:r>
          </w:p>
        </w:tc>
      </w:tr>
      <w:tr>
        <w:tc>
          <w:tcPr>
            <w:tcW w:type="dxa" w:w="792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Acknowledgements</w:t>
            </w:r>
          </w:p>
        </w:tc>
        <w:tc>
          <w:tcPr>
            <w:tcW w:type="dxa" w:w="144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iv</w:t>
            </w:r>
          </w:p>
        </w:tc>
      </w:tr>
      <w:tr>
        <w:tc>
          <w:tcPr>
            <w:tcW w:type="dxa" w:w="792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List of Abbreviations &amp; Acronyms</w:t>
            </w:r>
          </w:p>
        </w:tc>
        <w:tc>
          <w:tcPr>
            <w:tcW w:type="dxa" w:w="144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v</w:t>
            </w:r>
          </w:p>
        </w:tc>
      </w:tr>
      <w:tr>
        <w:tc>
          <w:tcPr>
            <w:tcW w:type="dxa" w:w="792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Table of Development Requirements &amp; Technology Stack</w:t>
            </w:r>
          </w:p>
        </w:tc>
        <w:tc>
          <w:tcPr>
            <w:tcW w:type="dxa" w:w="144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vi</w:t>
            </w:r>
          </w:p>
        </w:tc>
      </w:tr>
      <w:tr>
        <w:tc>
          <w:tcPr>
            <w:tcW w:type="dxa" w:w="792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Chapter 1: Introduction</w:t>
            </w:r>
          </w:p>
        </w:tc>
        <w:tc>
          <w:tcPr>
            <w:tcW w:type="dxa" w:w="144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1</w:t>
            </w:r>
          </w:p>
        </w:tc>
      </w:tr>
      <w:tr>
        <w:tc>
          <w:tcPr>
            <w:tcW w:type="dxa" w:w="792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 xml:space="preserve">    1.1 Brief Introduction</w:t>
            </w:r>
          </w:p>
        </w:tc>
        <w:tc>
          <w:tcPr>
            <w:tcW w:type="dxa" w:w="144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1</w:t>
            </w:r>
          </w:p>
        </w:tc>
      </w:tr>
      <w:tr>
        <w:tc>
          <w:tcPr>
            <w:tcW w:type="dxa" w:w="792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 xml:space="preserve">    1.2 Relevance to Course Modules</w:t>
            </w:r>
          </w:p>
        </w:tc>
        <w:tc>
          <w:tcPr>
            <w:tcW w:type="dxa" w:w="144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2</w:t>
            </w:r>
          </w:p>
        </w:tc>
      </w:tr>
      <w:tr>
        <w:tc>
          <w:tcPr>
            <w:tcW w:type="dxa" w:w="792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 xml:space="preserve">    1.3 Project Background</w:t>
            </w:r>
          </w:p>
        </w:tc>
        <w:tc>
          <w:tcPr>
            <w:tcW w:type="dxa" w:w="144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3</w:t>
            </w:r>
          </w:p>
        </w:tc>
      </w:tr>
      <w:tr>
        <w:tc>
          <w:tcPr>
            <w:tcW w:type="dxa" w:w="792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 xml:space="preserve">    1.4 Literature Review</w:t>
            </w:r>
          </w:p>
        </w:tc>
        <w:tc>
          <w:tcPr>
            <w:tcW w:type="dxa" w:w="144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3</w:t>
            </w:r>
          </w:p>
        </w:tc>
      </w:tr>
      <w:tr>
        <w:tc>
          <w:tcPr>
            <w:tcW w:type="dxa" w:w="792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 xml:space="preserve">    1.5 Analysis from Literature Review</w:t>
            </w:r>
          </w:p>
        </w:tc>
        <w:tc>
          <w:tcPr>
            <w:tcW w:type="dxa" w:w="144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5</w:t>
            </w:r>
          </w:p>
        </w:tc>
      </w:tr>
      <w:tr>
        <w:tc>
          <w:tcPr>
            <w:tcW w:type="dxa" w:w="792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 xml:space="preserve">    1.6 Methodology and Software Lifecycle for This Project</w:t>
            </w:r>
          </w:p>
        </w:tc>
        <w:tc>
          <w:tcPr>
            <w:tcW w:type="dxa" w:w="144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6</w:t>
            </w:r>
          </w:p>
        </w:tc>
      </w:tr>
      <w:tr>
        <w:tc>
          <w:tcPr>
            <w:tcW w:type="dxa" w:w="792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Chapter 2: Problem Definition</w:t>
            </w:r>
          </w:p>
        </w:tc>
        <w:tc>
          <w:tcPr>
            <w:tcW w:type="dxa" w:w="144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8</w:t>
            </w:r>
          </w:p>
        </w:tc>
      </w:tr>
      <w:tr>
        <w:tc>
          <w:tcPr>
            <w:tcW w:type="dxa" w:w="792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 xml:space="preserve">    2.1 Problem Statement</w:t>
            </w:r>
          </w:p>
        </w:tc>
        <w:tc>
          <w:tcPr>
            <w:tcW w:type="dxa" w:w="144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8</w:t>
            </w:r>
          </w:p>
        </w:tc>
      </w:tr>
      <w:tr>
        <w:tc>
          <w:tcPr>
            <w:tcW w:type="dxa" w:w="792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 xml:space="preserve">    2.2 Deliverables and Development Requirements</w:t>
            </w:r>
          </w:p>
        </w:tc>
        <w:tc>
          <w:tcPr>
            <w:tcW w:type="dxa" w:w="144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9</w:t>
            </w:r>
          </w:p>
        </w:tc>
      </w:tr>
      <w:tr>
        <w:tc>
          <w:tcPr>
            <w:tcW w:type="dxa" w:w="792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Chapter 3: Requirement Analysis</w:t>
            </w:r>
          </w:p>
        </w:tc>
        <w:tc>
          <w:tcPr>
            <w:tcW w:type="dxa" w:w="144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11</w:t>
            </w:r>
          </w:p>
        </w:tc>
      </w:tr>
      <w:tr>
        <w:tc>
          <w:tcPr>
            <w:tcW w:type="dxa" w:w="792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 xml:space="preserve">    3.1 System Boundary &amp; Use Case Diagram</w:t>
            </w:r>
          </w:p>
        </w:tc>
        <w:tc>
          <w:tcPr>
            <w:tcW w:type="dxa" w:w="144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11</w:t>
            </w:r>
          </w:p>
        </w:tc>
      </w:tr>
      <w:tr>
        <w:tc>
          <w:tcPr>
            <w:tcW w:type="dxa" w:w="792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 xml:space="preserve">    3.2 Detailed Use Cases</w:t>
            </w:r>
          </w:p>
        </w:tc>
        <w:tc>
          <w:tcPr>
            <w:tcW w:type="dxa" w:w="144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12</w:t>
            </w:r>
          </w:p>
        </w:tc>
      </w:tr>
      <w:tr>
        <w:tc>
          <w:tcPr>
            <w:tcW w:type="dxa" w:w="792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 xml:space="preserve">    3.3 Functional Requirements</w:t>
            </w:r>
          </w:p>
        </w:tc>
        <w:tc>
          <w:tcPr>
            <w:tcW w:type="dxa" w:w="144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17</w:t>
            </w:r>
          </w:p>
        </w:tc>
      </w:tr>
      <w:tr>
        <w:tc>
          <w:tcPr>
            <w:tcW w:type="dxa" w:w="792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 xml:space="preserve">    3.4 Non-Functional Requirements</w:t>
            </w:r>
          </w:p>
        </w:tc>
        <w:tc>
          <w:tcPr>
            <w:tcW w:type="dxa" w:w="144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20</w:t>
            </w:r>
          </w:p>
        </w:tc>
      </w:tr>
      <w:tr>
        <w:tc>
          <w:tcPr>
            <w:tcW w:type="dxa" w:w="792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Chapter 4: Design and Architecture</w:t>
            </w:r>
          </w:p>
        </w:tc>
        <w:tc>
          <w:tcPr>
            <w:tcW w:type="dxa" w:w="144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22</w:t>
            </w:r>
          </w:p>
        </w:tc>
      </w:tr>
      <w:tr>
        <w:tc>
          <w:tcPr>
            <w:tcW w:type="dxa" w:w="792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 xml:space="preserve">    4.1 System Architecture</w:t>
            </w:r>
          </w:p>
        </w:tc>
        <w:tc>
          <w:tcPr>
            <w:tcW w:type="dxa" w:w="144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22</w:t>
            </w:r>
          </w:p>
        </w:tc>
      </w:tr>
      <w:tr>
        <w:tc>
          <w:tcPr>
            <w:tcW w:type="dxa" w:w="792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 xml:space="preserve">    4.2 Process Flow Representation</w:t>
            </w:r>
          </w:p>
        </w:tc>
        <w:tc>
          <w:tcPr>
            <w:tcW w:type="dxa" w:w="144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23</w:t>
            </w:r>
          </w:p>
        </w:tc>
      </w:tr>
      <w:tr>
        <w:tc>
          <w:tcPr>
            <w:tcW w:type="dxa" w:w="792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 xml:space="preserve">    4.3 Design Models</w:t>
            </w:r>
          </w:p>
        </w:tc>
        <w:tc>
          <w:tcPr>
            <w:tcW w:type="dxa" w:w="144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24</w:t>
            </w:r>
          </w:p>
        </w:tc>
      </w:tr>
      <w:tr>
        <w:tc>
          <w:tcPr>
            <w:tcW w:type="dxa" w:w="792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 xml:space="preserve">        4.3.1 Class Diagram</w:t>
            </w:r>
          </w:p>
        </w:tc>
        <w:tc>
          <w:tcPr>
            <w:tcW w:type="dxa" w:w="144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24</w:t>
            </w:r>
          </w:p>
        </w:tc>
      </w:tr>
      <w:tr>
        <w:tc>
          <w:tcPr>
            <w:tcW w:type="dxa" w:w="792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 xml:space="preserve">        4.3.2 Sequence Diagram</w:t>
            </w:r>
          </w:p>
        </w:tc>
        <w:tc>
          <w:tcPr>
            <w:tcW w:type="dxa" w:w="144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25</w:t>
            </w:r>
          </w:p>
        </w:tc>
      </w:tr>
      <w:tr>
        <w:tc>
          <w:tcPr>
            <w:tcW w:type="dxa" w:w="792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 xml:space="preserve">        4.3.3 State Transition Model</w:t>
            </w:r>
          </w:p>
        </w:tc>
        <w:tc>
          <w:tcPr>
            <w:tcW w:type="dxa" w:w="144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26</w:t>
            </w:r>
          </w:p>
        </w:tc>
      </w:tr>
      <w:tr>
        <w:tc>
          <w:tcPr>
            <w:tcW w:type="dxa" w:w="792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References</w:t>
            </w:r>
          </w:p>
        </w:tc>
        <w:tc>
          <w:tcPr>
            <w:tcW w:type="dxa" w:w="144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30</w:t>
            </w:r>
          </w:p>
        </w:tc>
      </w:tr>
    </w:tbl>
    <w:p>
      <w:r>
        <w:br w:type="page"/>
      </w:r>
    </w:p>
    <w:p>
      <w:pPr>
        <w:keepNext/>
        <w:spacing w:before="280" w:after="120"/>
      </w:pPr>
      <w:r>
        <w:rPr>
          <w:rFonts w:ascii="Times New Roman" w:hAnsi="Times New Roman"/>
          <w:b/>
          <w:i w:val="0"/>
          <w:color w:val="115E59"/>
          <w:sz w:val="28"/>
        </w:rPr>
        <w:t>List of Figures</w:t>
      </w:r>
    </w:p>
    <w:tbl>
      <w:tblPr>
        <w:tblW w:type="auto" w:w="0"/>
        <w:jc w:val="center"/>
        <w:tblLayout w:type="fixed"/>
        <w:tblLook w:firstColumn="1" w:firstRow="1" w:lastColumn="0" w:lastRow="0" w:noHBand="0" w:noVBand="1" w:val="04A0"/>
        <w:tblBorders>
          <w:top w:val="single" w:sz="6" w:space="0" w:color="0F766E"/>
          <w:bottom w:val="single" w:sz="6" w:space="0" w:color="0F766E"/>
          <w:left w:val="none"/>
          <w:right w:val="none"/>
          <w:insideH w:val="single" w:sz="4" w:space="0" w:color="E2E8F0"/>
          <w:insideV w:val="none"/>
        </w:tblBorders>
      </w:tblPr>
      <w:tblGrid>
        <w:gridCol w:w="3120"/>
        <w:gridCol w:w="3120"/>
        <w:gridCol w:w="3120"/>
      </w:tblGrid>
      <w:tr>
        <w:tc>
          <w:tcPr>
            <w:tcW w:type="dxa" w:w="1728"/>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Figure #</w:t>
            </w:r>
          </w:p>
        </w:tc>
        <w:tc>
          <w:tcPr>
            <w:tcW w:type="dxa" w:w="6480"/>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Caption Description</w:t>
            </w:r>
          </w:p>
        </w:tc>
        <w:tc>
          <w:tcPr>
            <w:tcW w:type="dxa" w:w="1152"/>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Page</w:t>
            </w:r>
          </w:p>
        </w:tc>
      </w:tr>
      <w:tr>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Figure 3.1</w:t>
            </w:r>
          </w:p>
        </w:tc>
        <w:tc>
          <w:tcPr>
            <w:tcW w:type="dxa" w:w="648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Complete Use Case Diagram for HomeEase Platform</w:t>
            </w:r>
          </w:p>
        </w:tc>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12</w:t>
            </w:r>
          </w:p>
        </w:tc>
      </w:tr>
      <w:tr>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Figure 4.1</w:t>
            </w:r>
          </w:p>
        </w:tc>
        <w:tc>
          <w:tcPr>
            <w:tcW w:type="dxa" w:w="648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High-Level System Architecture of HomeEase Platform</w:t>
            </w:r>
          </w:p>
        </w:tc>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22</w:t>
            </w:r>
          </w:p>
        </w:tc>
      </w:tr>
      <w:tr>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Figure 4.2</w:t>
            </w:r>
          </w:p>
        </w:tc>
        <w:tc>
          <w:tcPr>
            <w:tcW w:type="dxa" w:w="648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End-to-End Operational Process Flow in HomeEase</w:t>
            </w:r>
          </w:p>
        </w:tc>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23</w:t>
            </w:r>
          </w:p>
        </w:tc>
      </w:tr>
      <w:tr>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Figure 4.3</w:t>
            </w:r>
          </w:p>
        </w:tc>
        <w:tc>
          <w:tcPr>
            <w:tcW w:type="dxa" w:w="648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Class Diagram of HomeEase Core Domain Models</w:t>
            </w:r>
          </w:p>
        </w:tc>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24</w:t>
            </w:r>
          </w:p>
        </w:tc>
      </w:tr>
      <w:tr>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Figure 4.4</w:t>
            </w:r>
          </w:p>
        </w:tc>
        <w:tc>
          <w:tcPr>
            <w:tcW w:type="dxa" w:w="648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Sequence Diagram for AI Recommendation and Booking Lifecycle</w:t>
            </w:r>
          </w:p>
        </w:tc>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25</w:t>
            </w:r>
          </w:p>
        </w:tc>
      </w:tr>
      <w:tr>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Figure 4.5</w:t>
            </w:r>
          </w:p>
        </w:tc>
        <w:tc>
          <w:tcPr>
            <w:tcW w:type="dxa" w:w="648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State Transition Diagram for Booking, Job Post, and Verification Lifecycles</w:t>
            </w:r>
          </w:p>
        </w:tc>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26</w:t>
            </w:r>
          </w:p>
        </w:tc>
      </w:tr>
      <w:tr>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Figure 4.6</w:t>
            </w:r>
          </w:p>
        </w:tc>
        <w:tc>
          <w:tcPr>
            <w:tcW w:type="dxa" w:w="648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Entity-Relationship Diagram (ERD) of HomeEase PostgreSQL Database</w:t>
            </w:r>
          </w:p>
        </w:tc>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27</w:t>
            </w:r>
          </w:p>
        </w:tc>
      </w:tr>
    </w:tbl>
    <w:p>
      <w:r>
        <w:br w:type="page"/>
      </w:r>
    </w:p>
    <w:p>
      <w:pPr>
        <w:keepNext/>
        <w:spacing w:before="280" w:after="120"/>
      </w:pPr>
      <w:r>
        <w:rPr>
          <w:rFonts w:ascii="Times New Roman" w:hAnsi="Times New Roman"/>
          <w:b/>
          <w:i w:val="0"/>
          <w:color w:val="115E59"/>
          <w:sz w:val="28"/>
        </w:rPr>
        <w:t>List of Abbreviations &amp; Acronyms</w:t>
      </w:r>
    </w:p>
    <w:tbl>
      <w:tblPr>
        <w:tblW w:type="auto" w:w="0"/>
        <w:jc w:val="center"/>
        <w:tblLayout w:type="fixed"/>
        <w:tblLook w:firstColumn="1" w:firstRow="1" w:lastColumn="0" w:lastRow="0" w:noHBand="0" w:noVBand="1" w:val="04A0"/>
        <w:tblBorders>
          <w:top w:val="single" w:sz="6" w:space="0" w:color="0F766E"/>
          <w:bottom w:val="single" w:sz="6" w:space="0" w:color="0F766E"/>
          <w:left w:val="none"/>
          <w:right w:val="none"/>
          <w:insideH w:val="single" w:sz="4" w:space="0" w:color="E2E8F0"/>
          <w:insideV w:val="none"/>
        </w:tblBorders>
      </w:tblPr>
      <w:tblGrid>
        <w:gridCol w:w="4680"/>
        <w:gridCol w:w="4680"/>
      </w:tblGrid>
      <w:tr>
        <w:tc>
          <w:tcPr>
            <w:tcW w:type="dxa" w:w="2592"/>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Abbreviation</w:t>
            </w:r>
          </w:p>
        </w:tc>
        <w:tc>
          <w:tcPr>
            <w:tcW w:type="dxa" w:w="6768"/>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Definition</w:t>
            </w:r>
          </w:p>
        </w:tc>
      </w:tr>
      <w:tr>
        <w:tc>
          <w:tcPr>
            <w:tcW w:type="dxa" w:w="259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AI</w:t>
            </w:r>
          </w:p>
        </w:tc>
        <w:tc>
          <w:tcPr>
            <w:tcW w:type="dxa" w:w="676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Artificial Intelligence</w:t>
            </w:r>
          </w:p>
        </w:tc>
      </w:tr>
      <w:tr>
        <w:tc>
          <w:tcPr>
            <w:tcW w:type="dxa" w:w="259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BaaS</w:t>
            </w:r>
          </w:p>
        </w:tc>
        <w:tc>
          <w:tcPr>
            <w:tcW w:type="dxa" w:w="676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Backend as a Service</w:t>
            </w:r>
          </w:p>
        </w:tc>
      </w:tr>
      <w:tr>
        <w:tc>
          <w:tcPr>
            <w:tcW w:type="dxa" w:w="259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CNIC</w:t>
            </w:r>
          </w:p>
        </w:tc>
        <w:tc>
          <w:tcPr>
            <w:tcW w:type="dxa" w:w="676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Computerized National Identity Card (Pakistan NADRA)</w:t>
            </w:r>
          </w:p>
        </w:tc>
      </w:tr>
      <w:tr>
        <w:tc>
          <w:tcPr>
            <w:tcW w:type="dxa" w:w="259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ERD</w:t>
            </w:r>
          </w:p>
        </w:tc>
        <w:tc>
          <w:tcPr>
            <w:tcW w:type="dxa" w:w="676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Entity Relationship Diagram</w:t>
            </w:r>
          </w:p>
        </w:tc>
      </w:tr>
      <w:tr>
        <w:tc>
          <w:tcPr>
            <w:tcW w:type="dxa" w:w="259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FK</w:t>
            </w:r>
          </w:p>
        </w:tc>
        <w:tc>
          <w:tcPr>
            <w:tcW w:type="dxa" w:w="676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Foreign Key</w:t>
            </w:r>
          </w:p>
        </w:tc>
      </w:tr>
      <w:tr>
        <w:tc>
          <w:tcPr>
            <w:tcW w:type="dxa" w:w="259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HCI</w:t>
            </w:r>
          </w:p>
        </w:tc>
        <w:tc>
          <w:tcPr>
            <w:tcW w:type="dxa" w:w="676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Human-Computer Interaction</w:t>
            </w:r>
          </w:p>
        </w:tc>
      </w:tr>
      <w:tr>
        <w:tc>
          <w:tcPr>
            <w:tcW w:type="dxa" w:w="259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JWT</w:t>
            </w:r>
          </w:p>
        </w:tc>
        <w:tc>
          <w:tcPr>
            <w:tcW w:type="dxa" w:w="676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JSON Web Token</w:t>
            </w:r>
          </w:p>
        </w:tc>
      </w:tr>
      <w:tr>
        <w:tc>
          <w:tcPr>
            <w:tcW w:type="dxa" w:w="259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KYC</w:t>
            </w:r>
          </w:p>
        </w:tc>
        <w:tc>
          <w:tcPr>
            <w:tcW w:type="dxa" w:w="676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Know Your Customer (Identity &amp; Background Verification)</w:t>
            </w:r>
          </w:p>
        </w:tc>
      </w:tr>
      <w:tr>
        <w:tc>
          <w:tcPr>
            <w:tcW w:type="dxa" w:w="259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PK</w:t>
            </w:r>
          </w:p>
        </w:tc>
        <w:tc>
          <w:tcPr>
            <w:tcW w:type="dxa" w:w="676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Primary Key</w:t>
            </w:r>
          </w:p>
        </w:tc>
      </w:tr>
      <w:tr>
        <w:tc>
          <w:tcPr>
            <w:tcW w:type="dxa" w:w="259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REST</w:t>
            </w:r>
          </w:p>
        </w:tc>
        <w:tc>
          <w:tcPr>
            <w:tcW w:type="dxa" w:w="676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Representational State Transfer</w:t>
            </w:r>
          </w:p>
        </w:tc>
      </w:tr>
      <w:tr>
        <w:tc>
          <w:tcPr>
            <w:tcW w:type="dxa" w:w="259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RLS</w:t>
            </w:r>
          </w:p>
        </w:tc>
        <w:tc>
          <w:tcPr>
            <w:tcW w:type="dxa" w:w="676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Row Level Security (PostgreSQL)</w:t>
            </w:r>
          </w:p>
        </w:tc>
      </w:tr>
      <w:tr>
        <w:tc>
          <w:tcPr>
            <w:tcW w:type="dxa" w:w="259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SDD</w:t>
            </w:r>
          </w:p>
        </w:tc>
        <w:tc>
          <w:tcPr>
            <w:tcW w:type="dxa" w:w="676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Software Design Description</w:t>
            </w:r>
          </w:p>
        </w:tc>
      </w:tr>
      <w:tr>
        <w:tc>
          <w:tcPr>
            <w:tcW w:type="dxa" w:w="259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SRS</w:t>
            </w:r>
          </w:p>
        </w:tc>
        <w:tc>
          <w:tcPr>
            <w:tcW w:type="dxa" w:w="676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Software Requirements Specification</w:t>
            </w:r>
          </w:p>
        </w:tc>
      </w:tr>
      <w:tr>
        <w:tc>
          <w:tcPr>
            <w:tcW w:type="dxa" w:w="259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XAI</w:t>
            </w:r>
          </w:p>
        </w:tc>
        <w:tc>
          <w:tcPr>
            <w:tcW w:type="dxa" w:w="676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Explainable Artificial Intelligence</w:t>
            </w:r>
          </w:p>
        </w:tc>
      </w:tr>
    </w:tbl>
    <w:p>
      <w:pPr>
        <w:spacing w:before="0" w:after="280" w:line="276" w:lineRule="auto"/>
        <w:jc w:val="left"/>
      </w:pPr>
    </w:p>
    <w:p>
      <w:pPr>
        <w:keepNext/>
        <w:spacing w:before="280" w:after="120"/>
      </w:pPr>
      <w:r>
        <w:rPr>
          <w:rFonts w:ascii="Times New Roman" w:hAnsi="Times New Roman"/>
          <w:b/>
          <w:i w:val="0"/>
          <w:color w:val="115E59"/>
          <w:sz w:val="28"/>
        </w:rPr>
        <w:t>Table of Development Requirements &amp; Technology Stack</w:t>
      </w:r>
    </w:p>
    <w:tbl>
      <w:tblPr>
        <w:tblW w:type="auto" w:w="0"/>
        <w:jc w:val="center"/>
        <w:tblLayout w:type="fixed"/>
        <w:tblLook w:firstColumn="1" w:firstRow="1" w:lastColumn="0" w:lastRow="0" w:noHBand="0" w:noVBand="1" w:val="04A0"/>
        <w:tblBorders>
          <w:top w:val="single" w:sz="6" w:space="0" w:color="0F766E"/>
          <w:bottom w:val="single" w:sz="6" w:space="0" w:color="0F766E"/>
          <w:left w:val="none"/>
          <w:right w:val="none"/>
          <w:insideH w:val="single" w:sz="4" w:space="0" w:color="E2E8F0"/>
          <w:insideV w:val="none"/>
        </w:tblBorders>
      </w:tblPr>
      <w:tblGrid>
        <w:gridCol w:w="3120"/>
        <w:gridCol w:w="3120"/>
        <w:gridCol w:w="3120"/>
      </w:tblGrid>
      <w:tr>
        <w:tc>
          <w:tcPr>
            <w:tcW w:type="dxa" w:w="2160"/>
            <w:shd w:fill="115E59"/>
            <w:tcMar>
              <w:top w:w="120" w:type="dxa"/>
              <w:bottom w:w="120" w:type="dxa"/>
              <w:left w:w="150" w:type="dxa"/>
              <w:right w:w="150" w:type="dxa"/>
            </w:tcMar>
          </w:tcPr>
          <w:p>
            <w:pPr>
              <w:spacing w:before="0" w:after="0"/>
              <w:jc w:val="left"/>
            </w:pPr>
            <w:r>
              <w:rPr>
                <w:rFonts w:ascii="Times New Roman" w:hAnsi="Times New Roman"/>
                <w:b/>
                <w:i w:val="0"/>
                <w:color w:val="FFFFFF"/>
                <w:sz w:val="21"/>
              </w:rPr>
              <w:t>Category</w:t>
            </w:r>
          </w:p>
        </w:tc>
        <w:tc>
          <w:tcPr>
            <w:tcW w:type="dxa" w:w="2880"/>
            <w:shd w:fill="115E59"/>
            <w:tcMar>
              <w:top w:w="120" w:type="dxa"/>
              <w:bottom w:w="120" w:type="dxa"/>
              <w:left w:w="150" w:type="dxa"/>
              <w:right w:w="150" w:type="dxa"/>
            </w:tcMar>
          </w:tcPr>
          <w:p>
            <w:pPr>
              <w:spacing w:before="0" w:after="0"/>
              <w:jc w:val="left"/>
            </w:pPr>
            <w:r>
              <w:rPr>
                <w:rFonts w:ascii="Times New Roman" w:hAnsi="Times New Roman"/>
                <w:b/>
                <w:i w:val="0"/>
                <w:color w:val="FFFFFF"/>
                <w:sz w:val="21"/>
              </w:rPr>
              <w:t>Selected Technology</w:t>
            </w:r>
          </w:p>
        </w:tc>
        <w:tc>
          <w:tcPr>
            <w:tcW w:type="dxa" w:w="4320"/>
            <w:shd w:fill="115E59"/>
            <w:tcMar>
              <w:top w:w="120" w:type="dxa"/>
              <w:bottom w:w="120" w:type="dxa"/>
              <w:left w:w="150" w:type="dxa"/>
              <w:right w:w="150" w:type="dxa"/>
            </w:tcMar>
          </w:tcPr>
          <w:p>
            <w:pPr>
              <w:spacing w:before="0" w:after="0"/>
              <w:jc w:val="left"/>
            </w:pPr>
            <w:r>
              <w:rPr>
                <w:rFonts w:ascii="Times New Roman" w:hAnsi="Times New Roman"/>
                <w:b/>
                <w:i w:val="0"/>
                <w:color w:val="FFFFFF"/>
                <w:sz w:val="21"/>
              </w:rPr>
              <w:t>Purpose &amp; Role in HomeEase</w:t>
            </w:r>
          </w:p>
        </w:tc>
      </w:tr>
      <w:tr>
        <w:tc>
          <w:tcPr>
            <w:tcW w:type="dxa" w:w="216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Mobile Client</w:t>
            </w:r>
          </w:p>
        </w:tc>
        <w:tc>
          <w:tcPr>
            <w:tcW w:type="dxa" w:w="288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Flutter SDK 3.x + Dart 3.x</w:t>
            </w:r>
          </w:p>
        </w:tc>
        <w:tc>
          <w:tcPr>
            <w:tcW w:type="dxa" w:w="432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Cross-platform mobile app for Households and Domestic Workers with custom Material 3 theming and responsive layouts.</w:t>
            </w:r>
          </w:p>
        </w:tc>
      </w:tr>
      <w:tr>
        <w:tc>
          <w:tcPr>
            <w:tcW w:type="dxa" w:w="216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Admin Web Portal</w:t>
            </w:r>
          </w:p>
        </w:tc>
        <w:tc>
          <w:tcPr>
            <w:tcW w:type="dxa" w:w="288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React 18 + Vite + TypeScript + Tailwind</w:t>
            </w:r>
          </w:p>
        </w:tc>
        <w:tc>
          <w:tcPr>
            <w:tcW w:type="dxa" w:w="432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Administrative governance portal for worker CNIC document verification, booking audits, and dispute resolution.</w:t>
            </w:r>
          </w:p>
        </w:tc>
      </w:tr>
      <w:tr>
        <w:tc>
          <w:tcPr>
            <w:tcW w:type="dxa" w:w="216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Backend Database</w:t>
            </w:r>
          </w:p>
        </w:tc>
        <w:tc>
          <w:tcPr>
            <w:tcW w:type="dxa" w:w="288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Supabase (Managed PostgreSQL 15+)</w:t>
            </w:r>
          </w:p>
        </w:tc>
        <w:tc>
          <w:tcPr>
            <w:tcW w:type="dxa" w:w="432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ACID-compliant relational database enforcing multi-role data relationships and granular Row Level Security (RLS).</w:t>
            </w:r>
          </w:p>
        </w:tc>
      </w:tr>
      <w:tr>
        <w:tc>
          <w:tcPr>
            <w:tcW w:type="dxa" w:w="216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Authentication</w:t>
            </w:r>
          </w:p>
        </w:tc>
        <w:tc>
          <w:tcPr>
            <w:tcW w:type="dxa" w:w="288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Supabase Auth (JWT &amp; Phone OTP)</w:t>
            </w:r>
          </w:p>
        </w:tc>
        <w:tc>
          <w:tcPr>
            <w:tcW w:type="dxa" w:w="432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Secure role-based session management, password hashing, and planned SMS/Phone verification.</w:t>
            </w:r>
          </w:p>
        </w:tc>
      </w:tr>
      <w:tr>
        <w:tc>
          <w:tcPr>
            <w:tcW w:type="dxa" w:w="216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Cloud Object Storage</w:t>
            </w:r>
          </w:p>
        </w:tc>
        <w:tc>
          <w:tcPr>
            <w:tcW w:type="dxa" w:w="288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Supabase Storage Buckets</w:t>
            </w:r>
          </w:p>
        </w:tc>
        <w:tc>
          <w:tcPr>
            <w:tcW w:type="dxa" w:w="432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Encrypted cloud bucket storage for worker CNIC front/back scans, police certificates, and manual payment receipt images.</w:t>
            </w:r>
          </w:p>
        </w:tc>
      </w:tr>
      <w:tr>
        <w:tc>
          <w:tcPr>
            <w:tcW w:type="dxa" w:w="216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AI Recommendation Engine</w:t>
            </w:r>
          </w:p>
        </w:tc>
        <w:tc>
          <w:tcPr>
            <w:tcW w:type="dxa" w:w="288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Content-Based Vector Scorer (Dart/Python)</w:t>
            </w:r>
          </w:p>
        </w:tc>
        <w:tc>
          <w:tcPr>
            <w:tcW w:type="dxa" w:w="432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Algorithmic worker recommendation using Cosine Similarity on skill embeddings, Haversine geo-decay, and rating normalization.</w:t>
            </w:r>
          </w:p>
        </w:tc>
      </w:tr>
      <w:tr>
        <w:tc>
          <w:tcPr>
            <w:tcW w:type="dxa" w:w="216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Bilingual Localization</w:t>
            </w:r>
          </w:p>
        </w:tc>
        <w:tc>
          <w:tcPr>
            <w:tcW w:type="dxa" w:w="288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Custom In-App Localization Engine</w:t>
            </w:r>
          </w:p>
        </w:tc>
        <w:tc>
          <w:tcPr>
            <w:tcW w:type="dxa" w:w="432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Dynamic English/Urdu (`اردو`) text translation dictionary, right-to-left layout adaptation, and visual iconography affordance.</w:t>
            </w:r>
          </w:p>
        </w:tc>
      </w:tr>
      <w:tr>
        <w:tc>
          <w:tcPr>
            <w:tcW w:type="dxa" w:w="216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Offline &amp; Local Data</w:t>
            </w:r>
          </w:p>
        </w:tc>
        <w:tc>
          <w:tcPr>
            <w:tcW w:type="dxa" w:w="288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Dart Seed Models &amp; Abbottabad Dataset</w:t>
            </w:r>
          </w:p>
        </w:tc>
        <w:tc>
          <w:tcPr>
            <w:tcW w:type="dxa" w:w="432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Synthetic dataset representing 50 Abbottabad workers and 30 household gigs across Mandian, Jhangi, Supply, and Nawan Shehr.</w:t>
            </w:r>
          </w:p>
        </w:tc>
      </w:tr>
    </w:tbl>
    <w:p>
      <w:r>
        <w:br w:type="page"/>
      </w:r>
    </w:p>
    <w:p>
      <w:pPr>
        <w:keepNext/>
        <w:spacing w:before="400" w:after="160"/>
      </w:pPr>
      <w:r>
        <w:rPr>
          <w:rFonts w:ascii="Times New Roman" w:hAnsi="Times New Roman"/>
          <w:b/>
          <w:i w:val="0"/>
          <w:color w:val="0F766E"/>
          <w:sz w:val="36"/>
        </w:rPr>
        <w:t>Chapter 1: Introduction</w:t>
      </w:r>
    </w:p>
    <w:p>
      <w:pPr>
        <w:keepNext/>
        <w:spacing w:before="280" w:after="120"/>
      </w:pPr>
      <w:r>
        <w:rPr>
          <w:rFonts w:ascii="Times New Roman" w:hAnsi="Times New Roman"/>
          <w:b/>
          <w:i w:val="0"/>
          <w:color w:val="115E59"/>
          <w:sz w:val="28"/>
        </w:rPr>
        <w:t>1.1 Brief Introduction</w:t>
      </w:r>
    </w:p>
    <w:p>
      <w:pPr>
        <w:spacing w:before="0" w:after="120" w:line="276" w:lineRule="auto"/>
        <w:jc w:val="left"/>
      </w:pPr>
      <w:r>
        <w:rPr>
          <w:rFonts w:ascii="Times New Roman" w:hAnsi="Times New Roman"/>
          <w:b w:val="0"/>
          <w:i w:val="0"/>
          <w:color w:val="000000"/>
          <w:sz w:val="24"/>
        </w:rPr>
        <w:t>HomeEase is an enterprise-grade, hyper-local domestic worker connect platform specifically architected to formalize and secure the informal home-services sector in Pakistan. The platform bridges the deep trust deficit between two primary stakeholders: urban households seeking reliable, safe domestic assistance (such as cooks, cleaners, maids, child nannies, and elderly caregivers), and informal domestic workers who require reliable employment visibility, fair compensation, and professional reputation portability.</w:t>
      </w:r>
    </w:p>
    <w:p>
      <w:pPr>
        <w:spacing w:before="0" w:after="120" w:line="276" w:lineRule="auto"/>
        <w:jc w:val="left"/>
      </w:pPr>
      <w:r>
        <w:rPr>
          <w:rFonts w:ascii="Times New Roman" w:hAnsi="Times New Roman"/>
          <w:b w:val="0"/>
          <w:i w:val="0"/>
          <w:color w:val="000000"/>
          <w:sz w:val="24"/>
        </w:rPr>
        <w:t>In urban and semi-urban Pakistani centers like Abbottabad, domestic worker hiring has historically been restricted to physical word-of-mouth, informal intermediaries, or gatekeeper referrals. These informal channels lack background identity checks, verifiable service histories, transparent task specifications, and standardized wage metrics. Consequently, employers face security risks and unpredictable absenteeism, while domestic workers are exposed to exploitative working hours, arbitrary wage cuts, and zero dispute recourse.</w:t>
      </w:r>
    </w:p>
    <w:p>
      <w:pPr>
        <w:spacing w:before="0" w:after="120" w:line="276" w:lineRule="auto"/>
        <w:jc w:val="left"/>
      </w:pPr>
      <w:r>
        <w:rPr>
          <w:rFonts w:ascii="Times New Roman" w:hAnsi="Times New Roman"/>
          <w:b w:val="0"/>
          <w:i w:val="0"/>
          <w:color w:val="000000"/>
          <w:sz w:val="24"/>
        </w:rPr>
        <w:t>HomeEase establishes a structured digital bridge through a three-tier architecture comprising a Flutter mobile application for both households and workers, a React/Vite admin dashboard for regulatory governance, and a Supabase PostgreSQL backend. At this 60% evaluation stage, HomeEase extends beyond conventional single-sided directory apps by delivering an Explainable AI (XAI) Recommendation Engine, a Bidirectional Job Marketplace, and a specialized Bilingual/Iconographic accessibility interface tailored for low-literacy workers.</w:t>
      </w:r>
    </w:p>
    <w:p>
      <w:pPr>
        <w:keepNext/>
        <w:spacing w:before="280" w:after="120"/>
      </w:pPr>
      <w:r>
        <w:rPr>
          <w:rFonts w:ascii="Times New Roman" w:hAnsi="Times New Roman"/>
          <w:b/>
          <w:i w:val="0"/>
          <w:color w:val="115E59"/>
          <w:sz w:val="28"/>
        </w:rPr>
        <w:t>1.2 Relevance to Course Modules</w:t>
      </w:r>
    </w:p>
    <w:p>
      <w:pPr>
        <w:spacing w:before="0" w:after="120" w:line="276" w:lineRule="auto"/>
        <w:jc w:val="left"/>
      </w:pPr>
      <w:r>
        <w:rPr>
          <w:rFonts w:ascii="Times New Roman" w:hAnsi="Times New Roman"/>
          <w:b w:val="0"/>
          <w:i w:val="0"/>
          <w:color w:val="000000"/>
          <w:sz w:val="24"/>
        </w:rPr>
        <w:t>The engineering lifecycle and architectural implementation of HomeEase synthesize theoretical knowledge and practical competencies acquired across five core academic modules of the Software Engineering curriculum at COMSATS University Islamabad:</w:t>
      </w:r>
    </w:p>
    <w:p>
      <w:pPr>
        <w:spacing w:before="0" w:after="120" w:line="276" w:lineRule="auto"/>
        <w:jc w:val="left"/>
      </w:pPr>
      <w:r>
        <w:rPr>
          <w:rFonts w:ascii="Times New Roman" w:hAnsi="Times New Roman"/>
          <w:b w:val="0"/>
          <w:i w:val="0"/>
          <w:color w:val="000000"/>
          <w:sz w:val="24"/>
        </w:rPr>
        <w:t>1. CSC392 (Software Engineering): Methodical application of the Agile Scrum methodology, requirement identification techniques, formal SRS and SDD authoring, UML object-oriented modeling, and Software Requirements Traceability Matrices (RTM).</w:t>
      </w:r>
    </w:p>
    <w:p>
      <w:pPr>
        <w:spacing w:before="0" w:after="120" w:line="276" w:lineRule="auto"/>
        <w:jc w:val="left"/>
      </w:pPr>
      <w:r>
        <w:rPr>
          <w:rFonts w:ascii="Times New Roman" w:hAnsi="Times New Roman"/>
          <w:b w:val="0"/>
          <w:i w:val="0"/>
          <w:color w:val="000000"/>
          <w:sz w:val="24"/>
        </w:rPr>
        <w:t>2. CSC341 (Database Systems): Relational database architecture, Third Normal Form (3NF) relational decomposition, entity integrity, foreign key cascading constraints, index optimization, and PostgreSQL Row Level Security (RLS) policies.</w:t>
      </w:r>
    </w:p>
    <w:p>
      <w:pPr>
        <w:spacing w:before="0" w:after="120" w:line="276" w:lineRule="auto"/>
        <w:jc w:val="left"/>
      </w:pPr>
      <w:r>
        <w:rPr>
          <w:rFonts w:ascii="Times New Roman" w:hAnsi="Times New Roman"/>
          <w:b w:val="0"/>
          <w:i w:val="0"/>
          <w:color w:val="000000"/>
          <w:sz w:val="24"/>
        </w:rPr>
        <w:t>3. CSC475 (Artificial Intelligence): Formalization of a Content-Based Recommender System, multi-dimensional feature space vectorization, Cosine Similarity distance metrics in high-dimensional discrete spaces, Haversine spherical distance formulas, min-max normalization, and Explainable AI (XAI) badge synthesis.</w:t>
      </w:r>
    </w:p>
    <w:p>
      <w:pPr>
        <w:spacing w:before="0" w:after="120" w:line="276" w:lineRule="auto"/>
        <w:jc w:val="left"/>
      </w:pPr>
      <w:r>
        <w:rPr>
          <w:rFonts w:ascii="Times New Roman" w:hAnsi="Times New Roman"/>
          <w:b w:val="0"/>
          <w:i w:val="0"/>
          <w:color w:val="000000"/>
          <w:sz w:val="24"/>
        </w:rPr>
        <w:t>4. CSC483 (Mobile Application Development): Cross-platform Flutter architecture, Dart asynchronous programming (Futures, Streams), reactive UI state binding, localized layout constraints, and native hardware sensor integration.</w:t>
      </w:r>
    </w:p>
    <w:p>
      <w:pPr>
        <w:spacing w:before="0" w:after="120" w:line="276" w:lineRule="auto"/>
        <w:jc w:val="left"/>
      </w:pPr>
      <w:r>
        <w:rPr>
          <w:rFonts w:ascii="Times New Roman" w:hAnsi="Times New Roman"/>
          <w:b w:val="0"/>
          <w:i w:val="0"/>
          <w:color w:val="000000"/>
          <w:sz w:val="24"/>
        </w:rPr>
        <w:t>5. CSC412 (Human-Computer Interaction): Usability engineering, accessibility for low-literacy demographics, bilingual right-to-left (RTL) typography handling, and visual iconography affordance design.</w:t>
      </w:r>
    </w:p>
    <w:p>
      <w:pPr>
        <w:keepNext/>
        <w:spacing w:before="280" w:after="120"/>
      </w:pPr>
      <w:r>
        <w:rPr>
          <w:rFonts w:ascii="Times New Roman" w:hAnsi="Times New Roman"/>
          <w:b/>
          <w:i w:val="0"/>
          <w:color w:val="115E59"/>
          <w:sz w:val="28"/>
        </w:rPr>
        <w:t>1.3 Project Background</w:t>
      </w:r>
    </w:p>
    <w:p>
      <w:pPr>
        <w:spacing w:before="0" w:after="120" w:line="276" w:lineRule="auto"/>
        <w:jc w:val="left"/>
      </w:pPr>
      <w:r>
        <w:rPr>
          <w:rFonts w:ascii="Times New Roman" w:hAnsi="Times New Roman"/>
          <w:b w:val="0"/>
          <w:i w:val="0"/>
          <w:color w:val="000000"/>
          <w:sz w:val="24"/>
        </w:rPr>
        <w:t>The HomeEase project commenced with the 10% Proposal Milestone, identifying the socio-technical breakdown of informal domestic worker hiring in Pakistan. The subsequent 30% Milestone formulated the complete Software Requirements Specification (SRS v1.0) and Software Design Description (SDD v1.0), along with a 15-screen client-side Flutter prototype executing on an interactive state machine.</w:t>
      </w:r>
    </w:p>
    <w:p>
      <w:pPr>
        <w:spacing w:before="0" w:after="120" w:line="276" w:lineRule="auto"/>
        <w:jc w:val="left"/>
      </w:pPr>
      <w:r>
        <w:rPr>
          <w:rFonts w:ascii="Times New Roman" w:hAnsi="Times New Roman"/>
          <w:b w:val="0"/>
          <w:i w:val="0"/>
          <w:color w:val="000000"/>
          <w:sz w:val="24"/>
        </w:rPr>
        <w:t>During the 60% evaluation review on 2026-09-29, the FYP Evaluation Committee established four mandatory technical directives: (1) implementing an authentic AI recommendation engine rather than simple SQL filter dropdowns; (2) creating a two-sided bidirectional marketplace enabling workers to search and apply for household gigs; (3) introducing bilingual English/Urdu localization with visual iconography for low-literacy workers; and (4) validating the system with an empirical dataset from Abbottabad. This report documents the successful architectural realization of these mandates.</w:t>
      </w:r>
    </w:p>
    <w:p>
      <w:pPr>
        <w:keepNext/>
        <w:spacing w:before="280" w:after="120"/>
      </w:pPr>
      <w:r>
        <w:rPr>
          <w:rFonts w:ascii="Times New Roman" w:hAnsi="Times New Roman"/>
          <w:b/>
          <w:i w:val="0"/>
          <w:color w:val="115E59"/>
          <w:sz w:val="28"/>
        </w:rPr>
        <w:t>1.4 Literature Review</w:t>
      </w:r>
    </w:p>
    <w:p>
      <w:pPr>
        <w:spacing w:before="0" w:after="120" w:line="276" w:lineRule="auto"/>
        <w:jc w:val="left"/>
      </w:pPr>
      <w:r>
        <w:rPr>
          <w:rFonts w:ascii="Times New Roman" w:hAnsi="Times New Roman"/>
          <w:b w:val="0"/>
          <w:i w:val="0"/>
          <w:color w:val="000000"/>
          <w:sz w:val="24"/>
        </w:rPr>
        <w:t>A rigorous literature review of international and regional on-demand service platforms reveals distinct operational models and limitations:</w:t>
      </w:r>
    </w:p>
    <w:p>
      <w:pPr>
        <w:spacing w:before="0" w:after="120" w:line="276" w:lineRule="auto"/>
        <w:jc w:val="left"/>
      </w:pPr>
      <w:r>
        <w:rPr>
          <w:rFonts w:ascii="Times New Roman" w:hAnsi="Times New Roman"/>
          <w:b w:val="0"/>
          <w:i w:val="0"/>
          <w:color w:val="000000"/>
          <w:sz w:val="24"/>
        </w:rPr>
        <w:t>1. Urban Company (formerly UrbanClap, India/UAE): Employs a full-stack managed marketplace model where the platform sets prices, trains workers, and takes commission. While highly standardized, it requires heavy capital investment, complete digital banking penetration, and excludes informal, low-literacy workers who lack formal trade licenses.</w:t>
      </w:r>
    </w:p>
    <w:p>
      <w:pPr>
        <w:spacing w:before="0" w:after="120" w:line="276" w:lineRule="auto"/>
        <w:jc w:val="left"/>
      </w:pPr>
      <w:r>
        <w:rPr>
          <w:rFonts w:ascii="Times New Roman" w:hAnsi="Times New Roman"/>
          <w:b w:val="0"/>
          <w:i w:val="0"/>
          <w:color w:val="000000"/>
          <w:sz w:val="24"/>
        </w:rPr>
        <w:t>2. Care.com (USA / Global): A subscription-based caregiving directory connecting families with nannies and caregivers. It relies heavily on Social Security Number (SSN) background checks, mandatory monthly credit card subscriptions, and extensive written text profiles, rendering it completely unsuited for the cash-based, low-literacy Pakistani market.</w:t>
      </w:r>
    </w:p>
    <w:p>
      <w:pPr>
        <w:spacing w:before="0" w:after="120" w:line="276" w:lineRule="auto"/>
        <w:jc w:val="left"/>
      </w:pPr>
      <w:r>
        <w:rPr>
          <w:rFonts w:ascii="Times New Roman" w:hAnsi="Times New Roman"/>
          <w:b w:val="0"/>
          <w:i w:val="0"/>
          <w:color w:val="000000"/>
          <w:sz w:val="24"/>
        </w:rPr>
        <w:t>3. Handy &amp; TaskRabbit (USA / Europe): Gig platforms focusing on handyman tasks, cleaning, and furniture assembly. Both rely on automated credit card escrow and gig-worker bidding. Neither accommodates informal cash settlement, nor do they support visual affordance for workers who cannot read Latin scripts.</w:t>
      </w:r>
    </w:p>
    <w:p>
      <w:pPr>
        <w:spacing w:before="0" w:after="120" w:line="276" w:lineRule="auto"/>
        <w:jc w:val="left"/>
      </w:pPr>
      <w:r>
        <w:rPr>
          <w:rFonts w:ascii="Times New Roman" w:hAnsi="Times New Roman"/>
          <w:b w:val="0"/>
          <w:i w:val="0"/>
          <w:color w:val="000000"/>
          <w:sz w:val="24"/>
        </w:rPr>
        <w:t>4. KaamKaaj &amp; Local Classifieds (Pakistan / OLX): Local classified platforms simply publish unverified phone numbers and raw text blurbs. They offer zero identity verification, no auto-generated service agreements, no double-booking prevention, no dispute resolution, and zero recommendation intelligence.</w:t>
      </w:r>
    </w:p>
    <w:p>
      <w:pPr>
        <w:keepNext/>
        <w:spacing w:before="280" w:after="120"/>
      </w:pPr>
      <w:r>
        <w:rPr>
          <w:rFonts w:ascii="Times New Roman" w:hAnsi="Times New Roman"/>
          <w:b/>
          <w:i w:val="0"/>
          <w:color w:val="115E59"/>
          <w:sz w:val="28"/>
        </w:rPr>
        <w:t>1.5 Analysis from Literature Review</w:t>
      </w:r>
    </w:p>
    <w:p>
      <w:pPr>
        <w:spacing w:before="0" w:after="120" w:line="276" w:lineRule="auto"/>
        <w:jc w:val="left"/>
      </w:pPr>
      <w:r>
        <w:rPr>
          <w:rFonts w:ascii="Times New Roman" w:hAnsi="Times New Roman"/>
          <w:b w:val="0"/>
          <w:i w:val="0"/>
          <w:color w:val="000000"/>
          <w:sz w:val="24"/>
        </w:rPr>
        <w:t>The following comparative matrix synthesizes the competitive landscape against seven critical engineering dimensions:</w:t>
      </w:r>
    </w:p>
    <w:tbl>
      <w:tblPr>
        <w:tblW w:type="auto" w:w="0"/>
        <w:jc w:val="center"/>
        <w:tblLayout w:type="fixed"/>
        <w:tblLook w:firstColumn="1" w:firstRow="1" w:lastColumn="0" w:lastRow="0" w:noHBand="0" w:noVBand="1" w:val="04A0"/>
        <w:tblBorders>
          <w:top w:val="single" w:sz="6" w:space="0" w:color="0F766E"/>
          <w:bottom w:val="single" w:sz="6" w:space="0" w:color="0F766E"/>
          <w:left w:val="none"/>
          <w:right w:val="none"/>
          <w:insideH w:val="single" w:sz="4" w:space="0" w:color="E2E8F0"/>
          <w:insideV w:val="none"/>
        </w:tblBorders>
      </w:tblPr>
      <w:tblGrid>
        <w:gridCol w:w="1170"/>
        <w:gridCol w:w="1170"/>
        <w:gridCol w:w="1170"/>
        <w:gridCol w:w="1170"/>
        <w:gridCol w:w="1170"/>
        <w:gridCol w:w="1170"/>
        <w:gridCol w:w="1170"/>
        <w:gridCol w:w="1170"/>
      </w:tblGrid>
      <w:tr>
        <w:tc>
          <w:tcPr>
            <w:tcW w:type="dxa" w:w="1584"/>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Platform</w:t>
            </w:r>
          </w:p>
        </w:tc>
        <w:tc>
          <w:tcPr>
            <w:tcW w:type="dxa" w:w="1152"/>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Hyper-Local Matching</w:t>
            </w:r>
          </w:p>
        </w:tc>
        <w:tc>
          <w:tcPr>
            <w:tcW w:type="dxa" w:w="1152"/>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Verification Pipeline</w:t>
            </w:r>
          </w:p>
        </w:tc>
        <w:tc>
          <w:tcPr>
            <w:tcW w:type="dxa" w:w="1296"/>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Payment Inclusivity</w:t>
            </w:r>
          </w:p>
        </w:tc>
        <w:tc>
          <w:tcPr>
            <w:tcW w:type="dxa" w:w="1152"/>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Bidirectional Job Board</w:t>
            </w:r>
          </w:p>
        </w:tc>
        <w:tc>
          <w:tcPr>
            <w:tcW w:type="dxa" w:w="1296"/>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AI-Driven Recommender</w:t>
            </w:r>
          </w:p>
        </w:tc>
        <w:tc>
          <w:tcPr>
            <w:tcW w:type="dxa" w:w="1296"/>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Low-Literacy &amp; Urdu UI</w:t>
            </w:r>
          </w:p>
        </w:tc>
        <w:tc>
          <w:tcPr>
            <w:tcW w:type="dxa" w:w="1152"/>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Formal Service Agreement</w:t>
            </w:r>
          </w:p>
        </w:tc>
      </w:tr>
      <w:tr>
        <w:tc>
          <w:tcPr>
            <w:tcW w:type="dxa" w:w="158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Urban Company</w:t>
            </w:r>
          </w:p>
        </w:tc>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Full Trade Audit</w:t>
            </w:r>
          </w:p>
        </w:tc>
        <w:tc>
          <w:tcPr>
            <w:tcW w:type="dxa" w:w="129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Credit/Debit Cards Only</w:t>
            </w:r>
          </w:p>
        </w:tc>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No (Assigned)</w:t>
            </w:r>
          </w:p>
        </w:tc>
        <w:tc>
          <w:tcPr>
            <w:tcW w:type="dxa" w:w="129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Complex Proprietary</w:t>
            </w:r>
          </w:p>
        </w:tc>
        <w:tc>
          <w:tcPr>
            <w:tcW w:type="dxa" w:w="129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English/Hindi (Text)</w:t>
            </w:r>
          </w:p>
        </w:tc>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Standard Terms</w:t>
            </w:r>
          </w:p>
        </w:tc>
      </w:tr>
      <w:tr>
        <w:tc>
          <w:tcPr>
            <w:tcW w:type="dxa" w:w="158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Care.com</w:t>
            </w:r>
          </w:p>
        </w:tc>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Zipcode</w:t>
            </w:r>
          </w:p>
        </w:tc>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SSN Check</w:t>
            </w:r>
          </w:p>
        </w:tc>
        <w:tc>
          <w:tcPr>
            <w:tcW w:type="dxa" w:w="129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Credit Cards Only</w:t>
            </w:r>
          </w:p>
        </w:tc>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Yes (Job Posts)</w:t>
            </w:r>
          </w:p>
        </w:tc>
        <w:tc>
          <w:tcPr>
            <w:tcW w:type="dxa" w:w="129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Collaborative Filtering</w:t>
            </w:r>
          </w:p>
        </w:tc>
        <w:tc>
          <w:tcPr>
            <w:tcW w:type="dxa" w:w="129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English Only</w:t>
            </w:r>
          </w:p>
        </w:tc>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No</w:t>
            </w:r>
          </w:p>
        </w:tc>
      </w:tr>
      <w:tr>
        <w:tc>
          <w:tcPr>
            <w:tcW w:type="dxa" w:w="158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TaskRabbit</w:t>
            </w:r>
          </w:p>
        </w:tc>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Zipcode</w:t>
            </w:r>
          </w:p>
        </w:tc>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Third-Party KYC</w:t>
            </w:r>
          </w:p>
        </w:tc>
        <w:tc>
          <w:tcPr>
            <w:tcW w:type="dxa" w:w="129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Automated Escrow</w:t>
            </w:r>
          </w:p>
        </w:tc>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Yes (Tasks Feed)</w:t>
            </w:r>
          </w:p>
        </w:tc>
        <w:tc>
          <w:tcPr>
            <w:tcW w:type="dxa" w:w="129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Heuristic Search</w:t>
            </w:r>
          </w:p>
        </w:tc>
        <w:tc>
          <w:tcPr>
            <w:tcW w:type="dxa" w:w="129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English Only</w:t>
            </w:r>
          </w:p>
        </w:tc>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Platform Terms</w:t>
            </w:r>
          </w:p>
        </w:tc>
      </w:tr>
      <w:tr>
        <w:tc>
          <w:tcPr>
            <w:tcW w:type="dxa" w:w="158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Pak Classifieds</w:t>
            </w:r>
          </w:p>
        </w:tc>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City Level</w:t>
            </w:r>
          </w:p>
        </w:tc>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None (Unverified)</w:t>
            </w:r>
          </w:p>
        </w:tc>
        <w:tc>
          <w:tcPr>
            <w:tcW w:type="dxa" w:w="129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Informal Cash (Untracked)</w:t>
            </w:r>
          </w:p>
        </w:tc>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No (Raw Listings)</w:t>
            </w:r>
          </w:p>
        </w:tc>
        <w:tc>
          <w:tcPr>
            <w:tcW w:type="dxa" w:w="129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Static Dropdown Query</w:t>
            </w:r>
          </w:p>
        </w:tc>
        <w:tc>
          <w:tcPr>
            <w:tcW w:type="dxa" w:w="129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English / Urdu Text</w:t>
            </w:r>
          </w:p>
        </w:tc>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None</w:t>
            </w:r>
          </w:p>
        </w:tc>
      </w:tr>
      <w:tr>
        <w:tc>
          <w:tcPr>
            <w:tcW w:type="dxa" w:w="158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HomeEase (Ours)</w:t>
            </w:r>
          </w:p>
        </w:tc>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Abbottabad Geo-Proximity</w:t>
            </w:r>
          </w:p>
        </w:tc>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CNIC + Police KYC</w:t>
            </w:r>
          </w:p>
        </w:tc>
        <w:tc>
          <w:tcPr>
            <w:tcW w:type="dxa" w:w="129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Manual Cash/JazzCash + Receipts</w:t>
            </w:r>
          </w:p>
        </w:tc>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Yes (Post &amp; Browse Feed)</w:t>
            </w:r>
          </w:p>
        </w:tc>
        <w:tc>
          <w:tcPr>
            <w:tcW w:type="dxa" w:w="129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Content-Based Vector XAI</w:t>
            </w:r>
          </w:p>
        </w:tc>
        <w:tc>
          <w:tcPr>
            <w:tcW w:type="dxa" w:w="129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Bilingual EN/اردو + Visual Icons</w:t>
            </w:r>
          </w:p>
        </w:tc>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Auto-Generated Agreement</w:t>
            </w:r>
          </w:p>
        </w:tc>
      </w:tr>
    </w:tbl>
    <w:p>
      <w:pPr>
        <w:spacing w:before="0" w:after="160" w:line="276" w:lineRule="auto"/>
        <w:jc w:val="left"/>
      </w:pPr>
    </w:p>
    <w:p>
      <w:pPr>
        <w:spacing w:before="0" w:after="120" w:line="276" w:lineRule="auto"/>
        <w:jc w:val="left"/>
      </w:pPr>
      <w:r>
        <w:rPr>
          <w:rFonts w:ascii="Times New Roman" w:hAnsi="Times New Roman"/>
          <w:b w:val="0"/>
          <w:i w:val="0"/>
          <w:color w:val="000000"/>
          <w:sz w:val="24"/>
        </w:rPr>
        <w:t>Critical Research Gaps Identified: The comparative analysis demonstrates that no existing platform bridges hyper-local domestic worker connectivity with explainable AI matching, informal payment auditability (Cash/JazzCash/EasyPaisa), formal contract generation, and bilingual accessibility tailored for low-literacy workers in semi-urban Pakistan. HomeEase directly addresses this vacuum.</w:t>
      </w:r>
    </w:p>
    <w:p>
      <w:pPr>
        <w:keepNext/>
        <w:spacing w:before="280" w:after="120"/>
      </w:pPr>
      <w:r>
        <w:rPr>
          <w:rFonts w:ascii="Times New Roman" w:hAnsi="Times New Roman"/>
          <w:b/>
          <w:i w:val="0"/>
          <w:color w:val="115E59"/>
          <w:sz w:val="28"/>
        </w:rPr>
        <w:t>1.6 Methodology and Software Lifecycle for This Project</w:t>
      </w:r>
    </w:p>
    <w:p>
      <w:pPr>
        <w:spacing w:before="0" w:after="120" w:line="276" w:lineRule="auto"/>
        <w:jc w:val="left"/>
      </w:pPr>
      <w:r>
        <w:rPr>
          <w:rFonts w:ascii="Times New Roman" w:hAnsi="Times New Roman"/>
          <w:b w:val="0"/>
          <w:i w:val="0"/>
          <w:color w:val="000000"/>
          <w:sz w:val="24"/>
        </w:rPr>
        <w:t>HomeEase is developed following the Agile Scrum methodology, organized into two-week development sprints. Agile was selected because domestic worker marketplace workflows require continuous usability testing with both high-literacy employers and low-literacy service providers.</w:t>
      </w:r>
    </w:p>
    <w:p>
      <w:pPr>
        <w:spacing w:before="0" w:after="120" w:line="276" w:lineRule="auto"/>
        <w:jc w:val="left"/>
      </w:pPr>
      <w:r>
        <w:rPr>
          <w:rFonts w:ascii="Times New Roman" w:hAnsi="Times New Roman"/>
          <w:b w:val="0"/>
          <w:i w:val="0"/>
          <w:color w:val="000000"/>
          <w:sz w:val="24"/>
        </w:rPr>
        <w:t>The project lifecycle maps directly to academic milestone checkpoints:</w:t>
      </w:r>
    </w:p>
    <w:p>
      <w:pPr>
        <w:spacing w:before="0" w:after="120" w:line="276" w:lineRule="auto"/>
        <w:jc w:val="left"/>
      </w:pPr>
      <w:r>
        <w:rPr>
          <w:rFonts w:ascii="Times New Roman" w:hAnsi="Times New Roman"/>
          <w:b w:val="0"/>
          <w:i w:val="0"/>
          <w:color w:val="000000"/>
          <w:sz w:val="24"/>
        </w:rPr>
        <w:t>- 10% Milestone (Proposal): Problem definition, literature review, technical feasibility, and high-level module planning.</w:t>
      </w:r>
    </w:p>
    <w:p>
      <w:pPr>
        <w:spacing w:before="0" w:after="120" w:line="276" w:lineRule="auto"/>
        <w:jc w:val="left"/>
      </w:pPr>
      <w:r>
        <w:rPr>
          <w:rFonts w:ascii="Times New Roman" w:hAnsi="Times New Roman"/>
          <w:b w:val="0"/>
          <w:i w:val="0"/>
          <w:color w:val="000000"/>
          <w:sz w:val="24"/>
        </w:rPr>
        <w:t>- 30% Milestone (SRS &amp; SDD): Formal specification of 32 functional requirements, comprehensive UML design suite, 14-table database schema, and client-side Flutter prototype.</w:t>
      </w:r>
    </w:p>
    <w:p>
      <w:pPr>
        <w:spacing w:before="0" w:after="120" w:line="276" w:lineRule="auto"/>
        <w:jc w:val="left"/>
      </w:pPr>
      <w:r>
        <w:rPr>
          <w:rFonts w:ascii="Times New Roman" w:hAnsi="Times New Roman"/>
          <w:b w:val="0"/>
          <w:i w:val="0"/>
          <w:color w:val="000000"/>
          <w:sz w:val="24"/>
        </w:rPr>
        <w:t>- 60% Milestone (Mid-Term Implementation - Active): Incorporation of the four Committee Mandates: Content-Based AI Recommendation Engine with XAI match badges, Bidirectional Job Marketplace, Bilingual Urdu/English Engine with visual icons, Abbottabad synthetic dataset, and Supabase PostgreSQL integration.</w:t>
      </w:r>
    </w:p>
    <w:p>
      <w:pPr>
        <w:spacing w:before="0" w:after="120" w:line="276" w:lineRule="auto"/>
        <w:jc w:val="left"/>
      </w:pPr>
      <w:r>
        <w:rPr>
          <w:rFonts w:ascii="Times New Roman" w:hAnsi="Times New Roman"/>
          <w:b w:val="0"/>
          <w:i w:val="0"/>
          <w:color w:val="000000"/>
          <w:sz w:val="24"/>
        </w:rPr>
        <w:t>- 100% Milestone (Final Defense): Live SMS OTP gateway, comprehensive Usability Testing across Abbottabad demographic cohorts, performance benchmarking, and final thesis.</w:t>
      </w:r>
    </w:p>
    <w:p>
      <w:r>
        <w:br w:type="page"/>
      </w:r>
    </w:p>
    <w:p>
      <w:pPr>
        <w:keepNext/>
        <w:spacing w:before="400" w:after="160"/>
      </w:pPr>
      <w:r>
        <w:rPr>
          <w:rFonts w:ascii="Times New Roman" w:hAnsi="Times New Roman"/>
          <w:b/>
          <w:i w:val="0"/>
          <w:color w:val="0F766E"/>
          <w:sz w:val="36"/>
        </w:rPr>
        <w:t>Chapter 2: Problem Definition</w:t>
      </w:r>
    </w:p>
    <w:p>
      <w:pPr>
        <w:keepNext/>
        <w:spacing w:before="280" w:after="120"/>
      </w:pPr>
      <w:r>
        <w:rPr>
          <w:rFonts w:ascii="Times New Roman" w:hAnsi="Times New Roman"/>
          <w:b/>
          <w:i w:val="0"/>
          <w:color w:val="115E59"/>
          <w:sz w:val="28"/>
        </w:rPr>
        <w:t>2.1 Problem Statement</w:t>
      </w:r>
    </w:p>
    <w:p>
      <w:pPr>
        <w:spacing w:before="0" w:after="120" w:line="276" w:lineRule="auto"/>
        <w:jc w:val="left"/>
      </w:pPr>
      <w:r>
        <w:rPr>
          <w:rFonts w:ascii="Times New Roman" w:hAnsi="Times New Roman"/>
          <w:b w:val="0"/>
          <w:i w:val="0"/>
          <w:color w:val="000000"/>
          <w:sz w:val="24"/>
        </w:rPr>
        <w:t>The informal domestic hiring sector in Pakistan suffers from systemic institutional and technological failure, manifested across six core operational pillars:</w:t>
      </w:r>
    </w:p>
    <w:p>
      <w:pPr>
        <w:spacing w:before="0" w:after="120" w:line="276" w:lineRule="auto"/>
        <w:jc w:val="left"/>
      </w:pPr>
      <w:r>
        <w:rPr>
          <w:rFonts w:ascii="Times New Roman" w:hAnsi="Times New Roman"/>
          <w:b w:val="0"/>
          <w:i w:val="0"/>
          <w:color w:val="000000"/>
          <w:sz w:val="24"/>
        </w:rPr>
        <w:t>1. Complete Lack of Background Verification: Households admit domestic workers into private residential spaces with zero verifiable identity records. No centralized repository exists to inspect CNIC authenticity, police character clearance, or past disciplinary histories, creating significant personal and physical security risks.</w:t>
      </w:r>
    </w:p>
    <w:p>
      <w:pPr>
        <w:spacing w:before="0" w:after="120" w:line="276" w:lineRule="auto"/>
        <w:jc w:val="left"/>
      </w:pPr>
      <w:r>
        <w:rPr>
          <w:rFonts w:ascii="Times New Roman" w:hAnsi="Times New Roman"/>
          <w:b w:val="0"/>
          <w:i w:val="0"/>
          <w:color w:val="000000"/>
          <w:sz w:val="24"/>
        </w:rPr>
        <w:t>2. Information Asymmetry and Informal Wage Exploitation: Absence of standardized rate cards leads to arbitrary price gouging by workers or unfair wage depression by employers. Workers lack reputation portability; five years of honest service for one household cannot be digitally proven when seeking employment with another.</w:t>
      </w:r>
    </w:p>
    <w:p>
      <w:pPr>
        <w:spacing w:before="0" w:after="120" w:line="276" w:lineRule="auto"/>
        <w:jc w:val="left"/>
      </w:pPr>
      <w:r>
        <w:rPr>
          <w:rFonts w:ascii="Times New Roman" w:hAnsi="Times New Roman"/>
          <w:b w:val="0"/>
          <w:i w:val="0"/>
          <w:color w:val="000000"/>
          <w:sz w:val="24"/>
        </w:rPr>
        <w:t>3. Single-Sided Friction in Gig Discovery: Traditional platforms treat workers as passive entries in a directory. Workers sitting idle have no mechanism to view nearby households needing immediate assistance, creating severe underemployment.</w:t>
      </w:r>
    </w:p>
    <w:p>
      <w:pPr>
        <w:spacing w:before="0" w:after="120" w:line="276" w:lineRule="auto"/>
        <w:jc w:val="left"/>
      </w:pPr>
      <w:r>
        <w:rPr>
          <w:rFonts w:ascii="Times New Roman" w:hAnsi="Times New Roman"/>
          <w:b w:val="0"/>
          <w:i w:val="0"/>
          <w:color w:val="000000"/>
          <w:sz w:val="24"/>
        </w:rPr>
        <w:t>4. Exclusionary Literacy and Language Barriers: The majority of domestic workers in Pakistan cannot read English, and many have limited Urdu text literacy. Digital platforms built exclusively with dense text menus and complex navigation exclude the very demographic they aim to empower.</w:t>
      </w:r>
    </w:p>
    <w:p>
      <w:pPr>
        <w:spacing w:before="0" w:after="120" w:line="276" w:lineRule="auto"/>
        <w:jc w:val="left"/>
      </w:pPr>
      <w:r>
        <w:rPr>
          <w:rFonts w:ascii="Times New Roman" w:hAnsi="Times New Roman"/>
          <w:b w:val="0"/>
          <w:i w:val="0"/>
          <w:color w:val="000000"/>
          <w:sz w:val="24"/>
        </w:rPr>
        <w:t>5. Cold-Start Failure in Traditional Recommender Systems: Collaborative filtering algorithms rely on millions of historical interaction matrices, causing complete failure during early deployment. Conversely, simple SQL WHERE queries lack algorithmic intelligence and fail academic standards.</w:t>
      </w:r>
    </w:p>
    <w:p>
      <w:pPr>
        <w:spacing w:before="0" w:after="120" w:line="276" w:lineRule="auto"/>
        <w:jc w:val="left"/>
      </w:pPr>
      <w:r>
        <w:rPr>
          <w:rFonts w:ascii="Times New Roman" w:hAnsi="Times New Roman"/>
          <w:b w:val="0"/>
          <w:i w:val="0"/>
          <w:color w:val="000000"/>
          <w:sz w:val="24"/>
        </w:rPr>
        <w:t>6. Unrealistic Digital Payment Gateways: Mandating automated credit card escrow excludes 95% of domestic workers who operate exclusively in cash or basic mobile wallets (EasyPaisa / JazzCash).</w:t>
      </w:r>
    </w:p>
    <w:p>
      <w:pPr>
        <w:keepNext/>
        <w:spacing w:before="280" w:after="120"/>
      </w:pPr>
      <w:r>
        <w:rPr>
          <w:rFonts w:ascii="Times New Roman" w:hAnsi="Times New Roman"/>
          <w:b/>
          <w:i w:val="0"/>
          <w:color w:val="115E59"/>
          <w:sz w:val="28"/>
        </w:rPr>
        <w:t>2.2 Deliverables and Development Requirements</w:t>
      </w:r>
    </w:p>
    <w:p>
      <w:pPr>
        <w:spacing w:before="0" w:after="120" w:line="276" w:lineRule="auto"/>
        <w:jc w:val="left"/>
      </w:pPr>
      <w:r>
        <w:rPr>
          <w:rFonts w:ascii="Times New Roman" w:hAnsi="Times New Roman"/>
          <w:b w:val="0"/>
          <w:i w:val="0"/>
          <w:color w:val="000000"/>
          <w:sz w:val="24"/>
        </w:rPr>
        <w:t>The HomeEase project delivers a production-grade multi-role digital platform. The table below delineates the cumulative deliverables across project stages:</w:t>
      </w:r>
    </w:p>
    <w:tbl>
      <w:tblPr>
        <w:tblW w:type="auto" w:w="0"/>
        <w:jc w:val="center"/>
        <w:tblLayout w:type="fixed"/>
        <w:tblLook w:firstColumn="1" w:firstRow="1" w:lastColumn="0" w:lastRow="0" w:noHBand="0" w:noVBand="1" w:val="04A0"/>
        <w:tblBorders>
          <w:top w:val="single" w:sz="6" w:space="0" w:color="0F766E"/>
          <w:bottom w:val="single" w:sz="6" w:space="0" w:color="0F766E"/>
          <w:left w:val="none"/>
          <w:right w:val="none"/>
          <w:insideH w:val="single" w:sz="4" w:space="0" w:color="E2E8F0"/>
          <w:insideV w:val="none"/>
        </w:tblBorders>
      </w:tblPr>
      <w:tblGrid>
        <w:gridCol w:w="2340"/>
        <w:gridCol w:w="2340"/>
        <w:gridCol w:w="2340"/>
        <w:gridCol w:w="2340"/>
      </w:tblGrid>
      <w:tr>
        <w:tc>
          <w:tcPr>
            <w:tcW w:type="dxa" w:w="1440"/>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Stage</w:t>
            </w:r>
          </w:p>
        </w:tc>
        <w:tc>
          <w:tcPr>
            <w:tcW w:type="dxa" w:w="2160"/>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Scope Focus</w:t>
            </w:r>
          </w:p>
        </w:tc>
        <w:tc>
          <w:tcPr>
            <w:tcW w:type="dxa" w:w="4608"/>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Deliverables Completed / Targeted</w:t>
            </w:r>
          </w:p>
        </w:tc>
        <w:tc>
          <w:tcPr>
            <w:tcW w:type="dxa" w:w="1584"/>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Status</w:t>
            </w:r>
          </w:p>
        </w:tc>
      </w:tr>
      <w:tr>
        <w:tc>
          <w:tcPr>
            <w:tcW w:type="dxa" w:w="144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10% Stage</w:t>
            </w:r>
          </w:p>
        </w:tc>
        <w:tc>
          <w:tcPr>
            <w:tcW w:type="dxa" w:w="216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Concept &amp; Proposal</w:t>
            </w:r>
          </w:p>
        </w:tc>
        <w:tc>
          <w:tcPr>
            <w:tcW w:type="dxa" w:w="460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Initial proposal document, slide deck, competitive analysis, feasibility assessment.</w:t>
            </w:r>
          </w:p>
        </w:tc>
        <w:tc>
          <w:tcPr>
            <w:tcW w:type="dxa" w:w="158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Approved</w:t>
            </w:r>
          </w:p>
        </w:tc>
      </w:tr>
      <w:tr>
        <w:tc>
          <w:tcPr>
            <w:tcW w:type="dxa" w:w="144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30% Stage</w:t>
            </w:r>
          </w:p>
        </w:tc>
        <w:tc>
          <w:tcPr>
            <w:tcW w:type="dxa" w:w="216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Analysis &amp; Prototyping</w:t>
            </w:r>
          </w:p>
        </w:tc>
        <w:tc>
          <w:tcPr>
            <w:tcW w:type="dxa" w:w="460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SRS v1.0 (32 FRs), SDD v1.0 (14 tables, 9 UML diagrams), client Flutter prototype (15 screens).</w:t>
            </w:r>
          </w:p>
        </w:tc>
        <w:tc>
          <w:tcPr>
            <w:tcW w:type="dxa" w:w="158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Approved</w:t>
            </w:r>
          </w:p>
        </w:tc>
      </w:tr>
      <w:tr>
        <w:tc>
          <w:tcPr>
            <w:tcW w:type="dxa" w:w="144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60% Stage</w:t>
            </w:r>
          </w:p>
        </w:tc>
        <w:tc>
          <w:tcPr>
            <w:tcW w:type="dxa" w:w="216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Main Full-Stack &amp; AI</w:t>
            </w:r>
          </w:p>
        </w:tc>
        <w:tc>
          <w:tcPr>
            <w:tcW w:type="dxa" w:w="460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AI Content Recommender with XAI badges, Bidirectional Job Board, Bilingual EN/اردو toggle, Abbottabad seed data, Supabase schema &amp; RLS, 60% Thesis.</w:t>
            </w:r>
          </w:p>
        </w:tc>
        <w:tc>
          <w:tcPr>
            <w:tcW w:type="dxa" w:w="158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Active (Delivered)</w:t>
            </w:r>
          </w:p>
        </w:tc>
      </w:tr>
      <w:tr>
        <w:tc>
          <w:tcPr>
            <w:tcW w:type="dxa" w:w="144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100% Stage</w:t>
            </w:r>
          </w:p>
        </w:tc>
        <w:tc>
          <w:tcPr>
            <w:tcW w:type="dxa" w:w="216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Final Polish &amp; Defense</w:t>
            </w:r>
          </w:p>
        </w:tc>
        <w:tc>
          <w:tcPr>
            <w:tcW w:type="dxa" w:w="460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Live SMS OTP integration, field usability testing in Abbottabad, performance benchmarking, final thesis and defense.</w:t>
            </w:r>
          </w:p>
        </w:tc>
        <w:tc>
          <w:tcPr>
            <w:tcW w:type="dxa" w:w="158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Roadmap</w:t>
            </w:r>
          </w:p>
        </w:tc>
      </w:tr>
    </w:tbl>
    <w:p>
      <w:r>
        <w:br w:type="page"/>
      </w:r>
    </w:p>
    <w:p>
      <w:pPr>
        <w:keepNext/>
        <w:spacing w:before="400" w:after="160"/>
      </w:pPr>
      <w:r>
        <w:rPr>
          <w:rFonts w:ascii="Times New Roman" w:hAnsi="Times New Roman"/>
          <w:b/>
          <w:i w:val="0"/>
          <w:color w:val="0F766E"/>
          <w:sz w:val="36"/>
        </w:rPr>
        <w:t>Chapter 3: Requirement Analysis</w:t>
      </w:r>
    </w:p>
    <w:p>
      <w:pPr>
        <w:keepNext/>
        <w:spacing w:before="280" w:after="120"/>
      </w:pPr>
      <w:r>
        <w:rPr>
          <w:rFonts w:ascii="Times New Roman" w:hAnsi="Times New Roman"/>
          <w:b/>
          <w:i w:val="0"/>
          <w:color w:val="115E59"/>
          <w:sz w:val="28"/>
        </w:rPr>
        <w:t>3.1 System Boundary &amp; Use Case Diagram</w:t>
      </w:r>
    </w:p>
    <w:p>
      <w:pPr>
        <w:spacing w:before="0" w:after="120" w:line="276" w:lineRule="auto"/>
        <w:jc w:val="left"/>
      </w:pPr>
      <w:r>
        <w:rPr>
          <w:rFonts w:ascii="Times New Roman" w:hAnsi="Times New Roman"/>
          <w:b w:val="0"/>
          <w:i w:val="0"/>
          <w:color w:val="000000"/>
          <w:sz w:val="24"/>
        </w:rPr>
        <w:t>The HomeEase system boundary encompasses three primary external actors (Household User, Domestic Worker User, and Platform Administrator) interacting with core backend services (Authentication Service, Database Service, AI Recommendation Service, and Notification Service).</w:t>
      </w:r>
    </w:p>
    <w:p>
      <w:pPr>
        <w:spacing w:before="0" w:after="120" w:line="276" w:lineRule="auto"/>
        <w:jc w:val="left"/>
      </w:pPr>
      <w:r>
        <w:rPr>
          <w:rFonts w:ascii="Times New Roman" w:hAnsi="Times New Roman"/>
          <w:b w:val="0"/>
          <w:i w:val="0"/>
          <w:color w:val="000000"/>
          <w:sz w:val="24"/>
        </w:rPr>
        <w:t>Household users execute worker discovery, inspect AI match badges, post open gigs, initiate bookings, sign formal agreements, log manual payments, and file disputes. Domestic workers manage digital profiles, submit KYC documents, set availability calendars, browse open household gigs, submit job proposals, accept bookings, and confirm payment receipts. Administrators govern verification queues, audit transactions, and mediate disputes.</w:t>
      </w:r>
    </w:p>
    <w:p>
      <w:pPr>
        <w:keepNext/>
        <w:spacing w:before="240" w:after="80"/>
        <w:jc w:val="center"/>
      </w:pPr>
      <w:r>
        <w:drawing>
          <wp:inline xmlns:a="http://schemas.openxmlformats.org/drawingml/2006/main" xmlns:pic="http://schemas.openxmlformats.org/drawingml/2006/picture">
            <wp:extent cx="5303520" cy="4781006"/>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2"/>
                    <a:stretch>
                      <a:fillRect/>
                    </a:stretch>
                  </pic:blipFill>
                  <pic:spPr>
                    <a:xfrm>
                      <a:off x="0" y="0"/>
                      <a:ext cx="5303520" cy="4781006"/>
                    </a:xfrm>
                    <a:prstGeom prst="rect"/>
                  </pic:spPr>
                </pic:pic>
              </a:graphicData>
            </a:graphic>
          </wp:inline>
        </w:drawing>
      </w:r>
    </w:p>
    <w:p>
      <w:pPr>
        <w:spacing w:before="40" w:after="240"/>
        <w:jc w:val="center"/>
      </w:pPr>
      <w:r>
        <w:rPr>
          <w:rFonts w:ascii="Times New Roman" w:hAnsi="Times New Roman"/>
          <w:b w:val="0"/>
          <w:i/>
          <w:color w:val="334155"/>
          <w:sz w:val="20"/>
        </w:rPr>
        <w:t>Figure 3.1: Complete Use Case Diagram for HomeEase Platform</w:t>
      </w:r>
    </w:p>
    <w:p>
      <w:pPr>
        <w:keepNext/>
        <w:spacing w:before="280" w:after="120"/>
      </w:pPr>
      <w:r>
        <w:rPr>
          <w:rFonts w:ascii="Times New Roman" w:hAnsi="Times New Roman"/>
          <w:b/>
          <w:i w:val="0"/>
          <w:color w:val="115E59"/>
          <w:sz w:val="28"/>
        </w:rPr>
        <w:t>3.2 Detailed Use Cases</w:t>
      </w:r>
    </w:p>
    <w:p>
      <w:pPr>
        <w:spacing w:before="0" w:after="120" w:line="276" w:lineRule="auto"/>
        <w:jc w:val="left"/>
      </w:pPr>
      <w:r>
        <w:rPr>
          <w:rFonts w:ascii="Times New Roman" w:hAnsi="Times New Roman"/>
          <w:b w:val="0"/>
          <w:i w:val="0"/>
          <w:color w:val="000000"/>
          <w:sz w:val="24"/>
        </w:rPr>
        <w:t>The following use case specifications detail the primary interactions across household, worker, administrative, and algorithmic system actors:</w:t>
      </w:r>
    </w:p>
    <w:p>
      <w:pPr>
        <w:keepNext/>
        <w:spacing w:before="200" w:after="80"/>
      </w:pPr>
      <w:r>
        <w:rPr>
          <w:rFonts w:ascii="Times New Roman" w:hAnsi="Times New Roman"/>
          <w:b/>
          <w:i/>
          <w:color w:val="0F766E"/>
          <w:sz w:val="21"/>
        </w:rPr>
        <w:t>Table: Specification for UC-HH-01 — Household Registration &amp; Profile Setup</w:t>
      </w:r>
    </w:p>
    <w:tbl>
      <w:tblPr>
        <w:tblW w:type="auto" w:w="0"/>
        <w:jc w:val="center"/>
        <w:tblLayout w:type="fixed"/>
        <w:tblLook w:firstColumn="1" w:firstRow="1" w:lastColumn="0" w:lastRow="0" w:noHBand="0" w:noVBand="1" w:val="04A0"/>
        <w:tblBorders>
          <w:top w:val="single" w:sz="6" w:space="0" w:color="0F766E"/>
          <w:bottom w:val="single" w:sz="6" w:space="0" w:color="0F766E"/>
          <w:left w:val="none"/>
          <w:right w:val="none"/>
          <w:insideH w:val="single" w:sz="4" w:space="0" w:color="E2E8F0"/>
          <w:insideV w:val="none"/>
        </w:tblBorders>
      </w:tblPr>
      <w:tblGrid>
        <w:gridCol w:w="4680"/>
        <w:gridCol w:w="4680"/>
      </w:tblGrid>
      <w:tr>
        <w:tc>
          <w:tcPr>
            <w:tcW w:type="dxa" w:w="2304"/>
            <w:shd w:fill="115E59"/>
            <w:tcMar>
              <w:top w:w="120" w:type="dxa"/>
              <w:bottom w:w="120" w:type="dxa"/>
              <w:left w:w="150" w:type="dxa"/>
              <w:right w:w="150" w:type="dxa"/>
            </w:tcMar>
          </w:tcPr>
          <w:p>
            <w:pPr>
              <w:spacing w:before="0" w:after="0"/>
              <w:jc w:val="left"/>
            </w:pPr>
            <w:r>
              <w:rPr>
                <w:rFonts w:ascii="Times New Roman" w:hAnsi="Times New Roman"/>
                <w:b/>
                <w:i w:val="0"/>
                <w:color w:val="FFFFFF"/>
                <w:sz w:val="21"/>
              </w:rPr>
              <w:t>Specification Field</w:t>
            </w:r>
          </w:p>
        </w:tc>
        <w:tc>
          <w:tcPr>
            <w:tcW w:type="dxa" w:w="7056"/>
            <w:shd w:fill="115E59"/>
            <w:tcMar>
              <w:top w:w="120" w:type="dxa"/>
              <w:bottom w:w="120" w:type="dxa"/>
              <w:left w:w="150" w:type="dxa"/>
              <w:right w:w="150" w:type="dxa"/>
            </w:tcMar>
          </w:tcPr>
          <w:p>
            <w:pPr>
              <w:spacing w:before="0" w:after="0"/>
              <w:jc w:val="left"/>
            </w:pPr>
            <w:r>
              <w:rPr>
                <w:rFonts w:ascii="Times New Roman" w:hAnsi="Times New Roman"/>
                <w:b/>
                <w:i w:val="0"/>
                <w:color w:val="FFFFFF"/>
                <w:sz w:val="21"/>
              </w:rPr>
              <w:t>Detailed System Behavior</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 Case ID</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UC-HH-01</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 Case Name</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Household Registration &amp; Profile Setup</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Primary Actor</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Household User</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Description</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 household employer registers a secure account and configures neighborhood location preferences.</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Trigger Event</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User selects 'Register as Household' on the mobile onboarding screen.</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Preconditions</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Device has network connectivity. User has a valid mobile number or email.</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Postconditions</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User account and household profile record are created in Supabase database.</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Main Success Flow</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1. User opens app and selects Household role.</w:t>
              <w:br/>
              <w:t>2. User enters full name, email/phone, password, and Abbottabad locality (e.g., Mandian).</w:t>
              <w:br/>
              <w:t>3. System validates credential formats.</w:t>
              <w:br/>
              <w:t>4. System creates authentication record and household profile.</w:t>
              <w:br/>
              <w:t>5. User is redirected to Household Discovery Home.</w:t>
            </w:r>
          </w:p>
        </w:tc>
      </w:tr>
    </w:tbl>
    <w:p>
      <w:pPr>
        <w:spacing w:after="160"/>
      </w:pPr>
    </w:p>
    <w:p>
      <w:pPr>
        <w:keepNext/>
        <w:spacing w:before="200" w:after="80"/>
      </w:pPr>
      <w:r>
        <w:rPr>
          <w:rFonts w:ascii="Times New Roman" w:hAnsi="Times New Roman"/>
          <w:b/>
          <w:i/>
          <w:color w:val="0F766E"/>
          <w:sz w:val="21"/>
        </w:rPr>
        <w:t>Table: Specification for UC-HH-02 — Discover Workers via Content-Based AI Recommender</w:t>
      </w:r>
    </w:p>
    <w:tbl>
      <w:tblPr>
        <w:tblW w:type="auto" w:w="0"/>
        <w:jc w:val="center"/>
        <w:tblLayout w:type="fixed"/>
        <w:tblLook w:firstColumn="1" w:firstRow="1" w:lastColumn="0" w:lastRow="0" w:noHBand="0" w:noVBand="1" w:val="04A0"/>
        <w:tblBorders>
          <w:top w:val="single" w:sz="6" w:space="0" w:color="0F766E"/>
          <w:bottom w:val="single" w:sz="6" w:space="0" w:color="0F766E"/>
          <w:left w:val="none"/>
          <w:right w:val="none"/>
          <w:insideH w:val="single" w:sz="4" w:space="0" w:color="E2E8F0"/>
          <w:insideV w:val="none"/>
        </w:tblBorders>
      </w:tblPr>
      <w:tblGrid>
        <w:gridCol w:w="4680"/>
        <w:gridCol w:w="4680"/>
      </w:tblGrid>
      <w:tr>
        <w:tc>
          <w:tcPr>
            <w:tcW w:type="dxa" w:w="2304"/>
            <w:shd w:fill="115E59"/>
            <w:tcMar>
              <w:top w:w="120" w:type="dxa"/>
              <w:bottom w:w="120" w:type="dxa"/>
              <w:left w:w="150" w:type="dxa"/>
              <w:right w:w="150" w:type="dxa"/>
            </w:tcMar>
          </w:tcPr>
          <w:p>
            <w:pPr>
              <w:spacing w:before="0" w:after="0"/>
              <w:jc w:val="left"/>
            </w:pPr>
            <w:r>
              <w:rPr>
                <w:rFonts w:ascii="Times New Roman" w:hAnsi="Times New Roman"/>
                <w:b/>
                <w:i w:val="0"/>
                <w:color w:val="FFFFFF"/>
                <w:sz w:val="21"/>
              </w:rPr>
              <w:t>Specification Field</w:t>
            </w:r>
          </w:p>
        </w:tc>
        <w:tc>
          <w:tcPr>
            <w:tcW w:type="dxa" w:w="7056"/>
            <w:shd w:fill="115E59"/>
            <w:tcMar>
              <w:top w:w="120" w:type="dxa"/>
              <w:bottom w:w="120" w:type="dxa"/>
              <w:left w:w="150" w:type="dxa"/>
              <w:right w:w="150" w:type="dxa"/>
            </w:tcMar>
          </w:tcPr>
          <w:p>
            <w:pPr>
              <w:spacing w:before="0" w:after="0"/>
              <w:jc w:val="left"/>
            </w:pPr>
            <w:r>
              <w:rPr>
                <w:rFonts w:ascii="Times New Roman" w:hAnsi="Times New Roman"/>
                <w:b/>
                <w:i w:val="0"/>
                <w:color w:val="FFFFFF"/>
                <w:sz w:val="21"/>
              </w:rPr>
              <w:t>Detailed System Behavior</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 Case ID</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UC-HH-02</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 Case Name</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Discover Workers via Content-Based AI Recommender</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Primary Actor</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Household User</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Description</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Household views an algorithmically ranked list of domestic workers tailored to service category, geographic proximity, and ratings.</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Trigger Event</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User opens the HomeEase search hub and selects a service category.</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Preconditions</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Household location is set. Worker profiles exist in the target region.</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Postconditions</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System displays sorted worker cards accompanied by Explainable AI (XAI) match percentage badges.</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Main Success Flow</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1. Household selects service category (e.g., Cooking).</w:t>
              <w:br/>
              <w:t>2. System extracts household feature vector (category, locality coordinates).</w:t>
              <w:br/>
              <w:t>3. AI Recommendation Engine computes Cosine similarity, Haversine distance decay, and normalized ratings across active worker profiles.</w:t>
              <w:br/>
              <w:t>4. System ranks workers by composite score.</w:t>
              <w:br/>
              <w:t>5. UI displays worker cards with match percentage (e.g., '94% Match') and reasoning tags.</w:t>
            </w:r>
          </w:p>
        </w:tc>
      </w:tr>
    </w:tbl>
    <w:p>
      <w:pPr>
        <w:spacing w:after="160"/>
      </w:pPr>
    </w:p>
    <w:p>
      <w:pPr>
        <w:keepNext/>
        <w:spacing w:before="200" w:after="80"/>
      </w:pPr>
      <w:r>
        <w:rPr>
          <w:rFonts w:ascii="Times New Roman" w:hAnsi="Times New Roman"/>
          <w:b/>
          <w:i/>
          <w:color w:val="0F766E"/>
          <w:sz w:val="21"/>
        </w:rPr>
        <w:t>Table: Specification for UC-HH-03 — Publish Open Household Gig / Job Post</w:t>
      </w:r>
    </w:p>
    <w:tbl>
      <w:tblPr>
        <w:tblW w:type="auto" w:w="0"/>
        <w:jc w:val="center"/>
        <w:tblLayout w:type="fixed"/>
        <w:tblLook w:firstColumn="1" w:firstRow="1" w:lastColumn="0" w:lastRow="0" w:noHBand="0" w:noVBand="1" w:val="04A0"/>
        <w:tblBorders>
          <w:top w:val="single" w:sz="6" w:space="0" w:color="0F766E"/>
          <w:bottom w:val="single" w:sz="6" w:space="0" w:color="0F766E"/>
          <w:left w:val="none"/>
          <w:right w:val="none"/>
          <w:insideH w:val="single" w:sz="4" w:space="0" w:color="E2E8F0"/>
          <w:insideV w:val="none"/>
        </w:tblBorders>
      </w:tblPr>
      <w:tblGrid>
        <w:gridCol w:w="4680"/>
        <w:gridCol w:w="4680"/>
      </w:tblGrid>
      <w:tr>
        <w:tc>
          <w:tcPr>
            <w:tcW w:type="dxa" w:w="2304"/>
            <w:shd w:fill="115E59"/>
            <w:tcMar>
              <w:top w:w="120" w:type="dxa"/>
              <w:bottom w:w="120" w:type="dxa"/>
              <w:left w:w="150" w:type="dxa"/>
              <w:right w:w="150" w:type="dxa"/>
            </w:tcMar>
          </w:tcPr>
          <w:p>
            <w:pPr>
              <w:spacing w:before="0" w:after="0"/>
              <w:jc w:val="left"/>
            </w:pPr>
            <w:r>
              <w:rPr>
                <w:rFonts w:ascii="Times New Roman" w:hAnsi="Times New Roman"/>
                <w:b/>
                <w:i w:val="0"/>
                <w:color w:val="FFFFFF"/>
                <w:sz w:val="21"/>
              </w:rPr>
              <w:t>Specification Field</w:t>
            </w:r>
          </w:p>
        </w:tc>
        <w:tc>
          <w:tcPr>
            <w:tcW w:type="dxa" w:w="7056"/>
            <w:shd w:fill="115E59"/>
            <w:tcMar>
              <w:top w:w="120" w:type="dxa"/>
              <w:bottom w:w="120" w:type="dxa"/>
              <w:left w:w="150" w:type="dxa"/>
              <w:right w:w="150" w:type="dxa"/>
            </w:tcMar>
          </w:tcPr>
          <w:p>
            <w:pPr>
              <w:spacing w:before="0" w:after="0"/>
              <w:jc w:val="left"/>
            </w:pPr>
            <w:r>
              <w:rPr>
                <w:rFonts w:ascii="Times New Roman" w:hAnsi="Times New Roman"/>
                <w:b/>
                <w:i w:val="0"/>
                <w:color w:val="FFFFFF"/>
                <w:sz w:val="21"/>
              </w:rPr>
              <w:t>Detailed System Behavior</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 Case ID</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UC-HH-03</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 Case Name</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Publish Open Household Gig / Job Post</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Primary Actor</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Household User</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Description</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Household publishes an open domestic task request for local workers to browse and apply (Bidirectional Marketplace).</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Trigger Event</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Household selects 'Post a Job' from the mobile dashboard.</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Preconditions</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Household user is authenticated.</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Postconditions</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New record is created in JOB_POSTS with status 'open' and dispatched to worker feeds.</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Main Success Flow</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1. Household enters task title, service category, date/time, Abbottabad locality, and proposed budget.</w:t>
              <w:br/>
              <w:t>2. User submits the gig posting.</w:t>
              <w:br/>
              <w:t>3. System validates inputs and persists job record.</w:t>
              <w:br/>
              <w:t>4. Notification service alerts matching domestic workers in the vicinity.</w:t>
              <w:br/>
              <w:t>5. Job appears in the Worker 'Available Jobs' feed.</w:t>
            </w:r>
          </w:p>
        </w:tc>
      </w:tr>
    </w:tbl>
    <w:p>
      <w:pPr>
        <w:spacing w:after="160"/>
      </w:pPr>
    </w:p>
    <w:p>
      <w:pPr>
        <w:keepNext/>
        <w:spacing w:before="200" w:after="80"/>
      </w:pPr>
      <w:r>
        <w:rPr>
          <w:rFonts w:ascii="Times New Roman" w:hAnsi="Times New Roman"/>
          <w:b/>
          <w:i/>
          <w:color w:val="0F766E"/>
          <w:sz w:val="21"/>
        </w:rPr>
        <w:t>Table: Specification for UC-HH-04 — Direct Booking Request Initiation</w:t>
      </w:r>
    </w:p>
    <w:tbl>
      <w:tblPr>
        <w:tblW w:type="auto" w:w="0"/>
        <w:jc w:val="center"/>
        <w:tblLayout w:type="fixed"/>
        <w:tblLook w:firstColumn="1" w:firstRow="1" w:lastColumn="0" w:lastRow="0" w:noHBand="0" w:noVBand="1" w:val="04A0"/>
        <w:tblBorders>
          <w:top w:val="single" w:sz="6" w:space="0" w:color="0F766E"/>
          <w:bottom w:val="single" w:sz="6" w:space="0" w:color="0F766E"/>
          <w:left w:val="none"/>
          <w:right w:val="none"/>
          <w:insideH w:val="single" w:sz="4" w:space="0" w:color="E2E8F0"/>
          <w:insideV w:val="none"/>
        </w:tblBorders>
      </w:tblPr>
      <w:tblGrid>
        <w:gridCol w:w="4680"/>
        <w:gridCol w:w="4680"/>
      </w:tblGrid>
      <w:tr>
        <w:tc>
          <w:tcPr>
            <w:tcW w:type="dxa" w:w="2304"/>
            <w:shd w:fill="115E59"/>
            <w:tcMar>
              <w:top w:w="120" w:type="dxa"/>
              <w:bottom w:w="120" w:type="dxa"/>
              <w:left w:w="150" w:type="dxa"/>
              <w:right w:w="150" w:type="dxa"/>
            </w:tcMar>
          </w:tcPr>
          <w:p>
            <w:pPr>
              <w:spacing w:before="0" w:after="0"/>
              <w:jc w:val="left"/>
            </w:pPr>
            <w:r>
              <w:rPr>
                <w:rFonts w:ascii="Times New Roman" w:hAnsi="Times New Roman"/>
                <w:b/>
                <w:i w:val="0"/>
                <w:color w:val="FFFFFF"/>
                <w:sz w:val="21"/>
              </w:rPr>
              <w:t>Specification Field</w:t>
            </w:r>
          </w:p>
        </w:tc>
        <w:tc>
          <w:tcPr>
            <w:tcW w:type="dxa" w:w="7056"/>
            <w:shd w:fill="115E59"/>
            <w:tcMar>
              <w:top w:w="120" w:type="dxa"/>
              <w:bottom w:w="120" w:type="dxa"/>
              <w:left w:w="150" w:type="dxa"/>
              <w:right w:w="150" w:type="dxa"/>
            </w:tcMar>
          </w:tcPr>
          <w:p>
            <w:pPr>
              <w:spacing w:before="0" w:after="0"/>
              <w:jc w:val="left"/>
            </w:pPr>
            <w:r>
              <w:rPr>
                <w:rFonts w:ascii="Times New Roman" w:hAnsi="Times New Roman"/>
                <w:b/>
                <w:i w:val="0"/>
                <w:color w:val="FFFFFF"/>
                <w:sz w:val="21"/>
              </w:rPr>
              <w:t>Detailed System Behavior</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 Case ID</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UC-HH-04</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 Case Name</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Direct Booking Request Initiation</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Primary Actor</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Household User</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Description</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Household books a specific domestic worker for a defined date, time, and service scope.</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Trigger Event</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Household taps 'Book Now' on a worker profile screen.</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Preconditions</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Worker is verified and has open availability slots for the requested date.</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Postconditions</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Booking record created with status 'Pending'. Double-booking lock engaged.</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Main Success Flow</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1. Household selects date, start time, end time, and service tasks.</w:t>
              <w:br/>
              <w:t>2. System checks worker availability and verifies no scheduling conflict.</w:t>
              <w:br/>
              <w:t>3. Household reviews booking summary and taps 'Send Booking Request'.</w:t>
              <w:br/>
              <w:t>4. System creates booking record in BOOKINGS.</w:t>
              <w:br/>
              <w:t>5. Notification sent to worker's mobile device.</w:t>
            </w:r>
          </w:p>
        </w:tc>
      </w:tr>
    </w:tbl>
    <w:p>
      <w:pPr>
        <w:spacing w:after="160"/>
      </w:pPr>
    </w:p>
    <w:p>
      <w:pPr>
        <w:keepNext/>
        <w:spacing w:before="200" w:after="80"/>
      </w:pPr>
      <w:r>
        <w:rPr>
          <w:rFonts w:ascii="Times New Roman" w:hAnsi="Times New Roman"/>
          <w:b/>
          <w:i/>
          <w:color w:val="0F766E"/>
          <w:sz w:val="21"/>
        </w:rPr>
        <w:t>Table: Specification for UC-HH-05 — Sign Auto-Generated Formal Service Agreement</w:t>
      </w:r>
    </w:p>
    <w:tbl>
      <w:tblPr>
        <w:tblW w:type="auto" w:w="0"/>
        <w:jc w:val="center"/>
        <w:tblLayout w:type="fixed"/>
        <w:tblLook w:firstColumn="1" w:firstRow="1" w:lastColumn="0" w:lastRow="0" w:noHBand="0" w:noVBand="1" w:val="04A0"/>
        <w:tblBorders>
          <w:top w:val="single" w:sz="6" w:space="0" w:color="0F766E"/>
          <w:bottom w:val="single" w:sz="6" w:space="0" w:color="0F766E"/>
          <w:left w:val="none"/>
          <w:right w:val="none"/>
          <w:insideH w:val="single" w:sz="4" w:space="0" w:color="E2E8F0"/>
          <w:insideV w:val="none"/>
        </w:tblBorders>
      </w:tblPr>
      <w:tblGrid>
        <w:gridCol w:w="4680"/>
        <w:gridCol w:w="4680"/>
      </w:tblGrid>
      <w:tr>
        <w:tc>
          <w:tcPr>
            <w:tcW w:type="dxa" w:w="2304"/>
            <w:shd w:fill="115E59"/>
            <w:tcMar>
              <w:top w:w="120" w:type="dxa"/>
              <w:bottom w:w="120" w:type="dxa"/>
              <w:left w:w="150" w:type="dxa"/>
              <w:right w:w="150" w:type="dxa"/>
            </w:tcMar>
          </w:tcPr>
          <w:p>
            <w:pPr>
              <w:spacing w:before="0" w:after="0"/>
              <w:jc w:val="left"/>
            </w:pPr>
            <w:r>
              <w:rPr>
                <w:rFonts w:ascii="Times New Roman" w:hAnsi="Times New Roman"/>
                <w:b/>
                <w:i w:val="0"/>
                <w:color w:val="FFFFFF"/>
                <w:sz w:val="21"/>
              </w:rPr>
              <w:t>Specification Field</w:t>
            </w:r>
          </w:p>
        </w:tc>
        <w:tc>
          <w:tcPr>
            <w:tcW w:type="dxa" w:w="7056"/>
            <w:shd w:fill="115E59"/>
            <w:tcMar>
              <w:top w:w="120" w:type="dxa"/>
              <w:bottom w:w="120" w:type="dxa"/>
              <w:left w:w="150" w:type="dxa"/>
              <w:right w:w="150" w:type="dxa"/>
            </w:tcMar>
          </w:tcPr>
          <w:p>
            <w:pPr>
              <w:spacing w:before="0" w:after="0"/>
              <w:jc w:val="left"/>
            </w:pPr>
            <w:r>
              <w:rPr>
                <w:rFonts w:ascii="Times New Roman" w:hAnsi="Times New Roman"/>
                <w:b/>
                <w:i w:val="0"/>
                <w:color w:val="FFFFFF"/>
                <w:sz w:val="21"/>
              </w:rPr>
              <w:t>Detailed System Behavior</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 Case ID</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UC-HH-05</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 Case Name</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Sign Auto-Generated Formal Service Agreement</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Primary Actor</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Household &amp; Worker</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Description</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Both parties inspect and digitally sign an auto-generated service contract prior to service commencement.</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Trigger Event</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Worker accepts a pending booking request.</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Preconditions</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Booking status is 'Accepted'.</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Postconditions</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Service agreement record generated in SERVICE_AGREEMENTS with status 'Signed'.</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Main Success Flow</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1. System compiles agreed task items, working hours, total wage, locality address, and dispute cancellation policy.</w:t>
              <w:br/>
              <w:t>2. Household reviews contract text and clicks 'Agree &amp; Sign'.</w:t>
              <w:br/>
              <w:t>3. Worker reviews contract on their mobile device and clicks 'Confirm Agreement'.</w:t>
              <w:br/>
              <w:t>4. Agreement status transitions to 'Active'.</w:t>
            </w:r>
          </w:p>
        </w:tc>
      </w:tr>
    </w:tbl>
    <w:p>
      <w:pPr>
        <w:spacing w:after="160"/>
      </w:pPr>
    </w:p>
    <w:p>
      <w:pPr>
        <w:keepNext/>
        <w:spacing w:before="200" w:after="80"/>
      </w:pPr>
      <w:r>
        <w:rPr>
          <w:rFonts w:ascii="Times New Roman" w:hAnsi="Times New Roman"/>
          <w:b/>
          <w:i/>
          <w:color w:val="0F766E"/>
          <w:sz w:val="21"/>
        </w:rPr>
        <w:t>Table: Specification for UC-HH-06 — Log Manual Payment &amp; Upload Receipt</w:t>
      </w:r>
    </w:p>
    <w:tbl>
      <w:tblPr>
        <w:tblW w:type="auto" w:w="0"/>
        <w:jc w:val="center"/>
        <w:tblLayout w:type="fixed"/>
        <w:tblLook w:firstColumn="1" w:firstRow="1" w:lastColumn="0" w:lastRow="0" w:noHBand="0" w:noVBand="1" w:val="04A0"/>
        <w:tblBorders>
          <w:top w:val="single" w:sz="6" w:space="0" w:color="0F766E"/>
          <w:bottom w:val="single" w:sz="6" w:space="0" w:color="0F766E"/>
          <w:left w:val="none"/>
          <w:right w:val="none"/>
          <w:insideH w:val="single" w:sz="4" w:space="0" w:color="E2E8F0"/>
          <w:insideV w:val="none"/>
        </w:tblBorders>
      </w:tblPr>
      <w:tblGrid>
        <w:gridCol w:w="4680"/>
        <w:gridCol w:w="4680"/>
      </w:tblGrid>
      <w:tr>
        <w:tc>
          <w:tcPr>
            <w:tcW w:type="dxa" w:w="2304"/>
            <w:shd w:fill="115E59"/>
            <w:tcMar>
              <w:top w:w="120" w:type="dxa"/>
              <w:bottom w:w="120" w:type="dxa"/>
              <w:left w:w="150" w:type="dxa"/>
              <w:right w:w="150" w:type="dxa"/>
            </w:tcMar>
          </w:tcPr>
          <w:p>
            <w:pPr>
              <w:spacing w:before="0" w:after="0"/>
              <w:jc w:val="left"/>
            </w:pPr>
            <w:r>
              <w:rPr>
                <w:rFonts w:ascii="Times New Roman" w:hAnsi="Times New Roman"/>
                <w:b/>
                <w:i w:val="0"/>
                <w:color w:val="FFFFFF"/>
                <w:sz w:val="21"/>
              </w:rPr>
              <w:t>Specification Field</w:t>
            </w:r>
          </w:p>
        </w:tc>
        <w:tc>
          <w:tcPr>
            <w:tcW w:type="dxa" w:w="7056"/>
            <w:shd w:fill="115E59"/>
            <w:tcMar>
              <w:top w:w="120" w:type="dxa"/>
              <w:bottom w:w="120" w:type="dxa"/>
              <w:left w:w="150" w:type="dxa"/>
              <w:right w:w="150" w:type="dxa"/>
            </w:tcMar>
          </w:tcPr>
          <w:p>
            <w:pPr>
              <w:spacing w:before="0" w:after="0"/>
              <w:jc w:val="left"/>
            </w:pPr>
            <w:r>
              <w:rPr>
                <w:rFonts w:ascii="Times New Roman" w:hAnsi="Times New Roman"/>
                <w:b/>
                <w:i w:val="0"/>
                <w:color w:val="FFFFFF"/>
                <w:sz w:val="21"/>
              </w:rPr>
              <w:t>Detailed System Behavior</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 Case ID</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UC-HH-06</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 Case Name</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Log Manual Payment &amp; Upload Receipt</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Primary Actor</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Household User</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Description</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Household logs cash or mobile wallet payment (JazzCash/EasyPaisa) and uploads receipt proof.</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Trigger Event</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Service agreement reaches completion date.</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Preconditions</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Booking status is 'Completed'.</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Postconditions</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Record created in PAYMENT_RECORDS with status 'Submitted'. Worker notified to confirm.</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Main Success Flow</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1. Household selects payment method (Cash, JazzCash, EasyPaisa).</w:t>
              <w:br/>
              <w:t>2. Household enters transaction ID / reference and amount paid.</w:t>
              <w:br/>
              <w:t>3. User captures image of receipt / screenshot and uploads.</w:t>
              <w:br/>
              <w:t>4. System uploads image to Supabase Storage bucket.</w:t>
              <w:br/>
              <w:t>5. Notification dispatched to Worker for confirmation.</w:t>
            </w:r>
          </w:p>
        </w:tc>
      </w:tr>
    </w:tbl>
    <w:p>
      <w:pPr>
        <w:spacing w:after="160"/>
      </w:pPr>
    </w:p>
    <w:p>
      <w:pPr>
        <w:keepNext/>
        <w:spacing w:before="200" w:after="80"/>
      </w:pPr>
      <w:r>
        <w:rPr>
          <w:rFonts w:ascii="Times New Roman" w:hAnsi="Times New Roman"/>
          <w:b/>
          <w:i/>
          <w:color w:val="0F766E"/>
          <w:sz w:val="21"/>
        </w:rPr>
        <w:t>Table: Specification for UC-WK-03 — Browse Available Jobs Feed (Bidirectional Marketplace)</w:t>
      </w:r>
    </w:p>
    <w:tbl>
      <w:tblPr>
        <w:tblW w:type="auto" w:w="0"/>
        <w:jc w:val="center"/>
        <w:tblLayout w:type="fixed"/>
        <w:tblLook w:firstColumn="1" w:firstRow="1" w:lastColumn="0" w:lastRow="0" w:noHBand="0" w:noVBand="1" w:val="04A0"/>
        <w:tblBorders>
          <w:top w:val="single" w:sz="6" w:space="0" w:color="0F766E"/>
          <w:bottom w:val="single" w:sz="6" w:space="0" w:color="0F766E"/>
          <w:left w:val="none"/>
          <w:right w:val="none"/>
          <w:insideH w:val="single" w:sz="4" w:space="0" w:color="E2E8F0"/>
          <w:insideV w:val="none"/>
        </w:tblBorders>
      </w:tblPr>
      <w:tblGrid>
        <w:gridCol w:w="4680"/>
        <w:gridCol w:w="4680"/>
      </w:tblGrid>
      <w:tr>
        <w:tc>
          <w:tcPr>
            <w:tcW w:type="dxa" w:w="2304"/>
            <w:shd w:fill="115E59"/>
            <w:tcMar>
              <w:top w:w="120" w:type="dxa"/>
              <w:bottom w:w="120" w:type="dxa"/>
              <w:left w:w="150" w:type="dxa"/>
              <w:right w:w="150" w:type="dxa"/>
            </w:tcMar>
          </w:tcPr>
          <w:p>
            <w:pPr>
              <w:spacing w:before="0" w:after="0"/>
              <w:jc w:val="left"/>
            </w:pPr>
            <w:r>
              <w:rPr>
                <w:rFonts w:ascii="Times New Roman" w:hAnsi="Times New Roman"/>
                <w:b/>
                <w:i w:val="0"/>
                <w:color w:val="FFFFFF"/>
                <w:sz w:val="21"/>
              </w:rPr>
              <w:t>Specification Field</w:t>
            </w:r>
          </w:p>
        </w:tc>
        <w:tc>
          <w:tcPr>
            <w:tcW w:type="dxa" w:w="7056"/>
            <w:shd w:fill="115E59"/>
            <w:tcMar>
              <w:top w:w="120" w:type="dxa"/>
              <w:bottom w:w="120" w:type="dxa"/>
              <w:left w:w="150" w:type="dxa"/>
              <w:right w:w="150" w:type="dxa"/>
            </w:tcMar>
          </w:tcPr>
          <w:p>
            <w:pPr>
              <w:spacing w:before="0" w:after="0"/>
              <w:jc w:val="left"/>
            </w:pPr>
            <w:r>
              <w:rPr>
                <w:rFonts w:ascii="Times New Roman" w:hAnsi="Times New Roman"/>
                <w:b/>
                <w:i w:val="0"/>
                <w:color w:val="FFFFFF"/>
                <w:sz w:val="21"/>
              </w:rPr>
              <w:t>Detailed System Behavior</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 Case ID</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UC-WK-03</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 Case Name</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Browse Available Jobs Feed (Bidirectional Marketplace)</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Primary Actor</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Domestic Worker</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Description</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Worker browses open household job postings matching their trade and location.</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Trigger Event</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Worker taps 'Find Jobs' tab on the mobile dashboard.</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Preconditions</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Worker profile has active service categories assigned.</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Postconditions</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Worker views scrollable list of open gigs with budget, locality, and time requirements.</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Main Success Flow</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1. Worker opens 'Available Jobs' feed.</w:t>
              <w:br/>
              <w:t>2. System queries JOB_POSTS where status = 'open' matching worker category and locality.</w:t>
              <w:br/>
              <w:t>3. Worker inspects job requirements and budget.</w:t>
              <w:br/>
              <w:t>4. Worker taps 'Apply Now'.</w:t>
              <w:br/>
              <w:t>5. System registers application in JOB_APPLICATIONS and alerts household.</w:t>
            </w:r>
          </w:p>
        </w:tc>
      </w:tr>
    </w:tbl>
    <w:p>
      <w:pPr>
        <w:spacing w:after="160"/>
      </w:pPr>
    </w:p>
    <w:p>
      <w:pPr>
        <w:keepNext/>
        <w:spacing w:before="200" w:after="80"/>
      </w:pPr>
      <w:r>
        <w:rPr>
          <w:rFonts w:ascii="Times New Roman" w:hAnsi="Times New Roman"/>
          <w:b/>
          <w:i/>
          <w:color w:val="0F766E"/>
          <w:sz w:val="21"/>
        </w:rPr>
        <w:t>Table: Specification for UC-SYS-01 — Content-Based AI Worker Scoring Engine</w:t>
      </w:r>
    </w:p>
    <w:tbl>
      <w:tblPr>
        <w:tblW w:type="auto" w:w="0"/>
        <w:jc w:val="center"/>
        <w:tblLayout w:type="fixed"/>
        <w:tblLook w:firstColumn="1" w:firstRow="1" w:lastColumn="0" w:lastRow="0" w:noHBand="0" w:noVBand="1" w:val="04A0"/>
        <w:tblBorders>
          <w:top w:val="single" w:sz="6" w:space="0" w:color="0F766E"/>
          <w:bottom w:val="single" w:sz="6" w:space="0" w:color="0F766E"/>
          <w:left w:val="none"/>
          <w:right w:val="none"/>
          <w:insideH w:val="single" w:sz="4" w:space="0" w:color="E2E8F0"/>
          <w:insideV w:val="none"/>
        </w:tblBorders>
      </w:tblPr>
      <w:tblGrid>
        <w:gridCol w:w="4680"/>
        <w:gridCol w:w="4680"/>
      </w:tblGrid>
      <w:tr>
        <w:tc>
          <w:tcPr>
            <w:tcW w:type="dxa" w:w="2304"/>
            <w:shd w:fill="115E59"/>
            <w:tcMar>
              <w:top w:w="120" w:type="dxa"/>
              <w:bottom w:w="120" w:type="dxa"/>
              <w:left w:w="150" w:type="dxa"/>
              <w:right w:w="150" w:type="dxa"/>
            </w:tcMar>
          </w:tcPr>
          <w:p>
            <w:pPr>
              <w:spacing w:before="0" w:after="0"/>
              <w:jc w:val="left"/>
            </w:pPr>
            <w:r>
              <w:rPr>
                <w:rFonts w:ascii="Times New Roman" w:hAnsi="Times New Roman"/>
                <w:b/>
                <w:i w:val="0"/>
                <w:color w:val="FFFFFF"/>
                <w:sz w:val="21"/>
              </w:rPr>
              <w:t>Specification Field</w:t>
            </w:r>
          </w:p>
        </w:tc>
        <w:tc>
          <w:tcPr>
            <w:tcW w:type="dxa" w:w="7056"/>
            <w:shd w:fill="115E59"/>
            <w:tcMar>
              <w:top w:w="120" w:type="dxa"/>
              <w:bottom w:w="120" w:type="dxa"/>
              <w:left w:w="150" w:type="dxa"/>
              <w:right w:w="150" w:type="dxa"/>
            </w:tcMar>
          </w:tcPr>
          <w:p>
            <w:pPr>
              <w:spacing w:before="0" w:after="0"/>
              <w:jc w:val="left"/>
            </w:pPr>
            <w:r>
              <w:rPr>
                <w:rFonts w:ascii="Times New Roman" w:hAnsi="Times New Roman"/>
                <w:b/>
                <w:i w:val="0"/>
                <w:color w:val="FFFFFF"/>
                <w:sz w:val="21"/>
              </w:rPr>
              <w:t>Detailed System Behavior</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 Case ID</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UC-SYS-01</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 Case Name</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Content-Based AI Worker Scoring Engine</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Primary Actor</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System Recommender</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Description</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Calculates multi-dimensional vector similarity and geographic decay for worker recommendations.</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Trigger Event</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Household initiates worker search or opens discovery hub.</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Preconditions</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Household location coordinates and target category vector available.</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Postconditions</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Normalized match scores and Explainable AI badge strings generated for all candidate workers.</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Main Success Flow</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1. System extracts binary category/skill vector u for household requirement.</w:t>
              <w:br/>
              <w:t>2. System computes Cosine Similarity against worker vectors w_i.</w:t>
              <w:br/>
              <w:t>3. System computes Haversine distance d_i in kilometers between household and worker coordinates.</w:t>
              <w:br/>
              <w:t>4. System computes proximity decay score S_geo = 1 / (1 + 0.2 d_i).</w:t>
              <w:br/>
              <w:t>5. System normalizes worker ratings to [0, 1].</w:t>
              <w:br/>
              <w:t>6. System calculates composite score S = 0.50 S_skills + 0.35 S_geo + 0.15 S_rating.</w:t>
              <w:br/>
              <w:t>7. System formats explainability string (e.g., '94% Match • 1.2 km away • Desi Cooking fit').</w:t>
            </w:r>
          </w:p>
        </w:tc>
      </w:tr>
    </w:tbl>
    <w:p>
      <w:pPr>
        <w:spacing w:after="160"/>
      </w:pPr>
    </w:p>
    <w:p>
      <w:pPr>
        <w:keepNext/>
        <w:spacing w:before="200" w:after="80"/>
      </w:pPr>
      <w:r>
        <w:rPr>
          <w:rFonts w:ascii="Times New Roman" w:hAnsi="Times New Roman"/>
          <w:b/>
          <w:i/>
          <w:color w:val="0F766E"/>
          <w:sz w:val="21"/>
        </w:rPr>
        <w:t>Table: Specification for UC-GEN-01 — Bilingual Language &amp; Visual Affordance Toggle</w:t>
      </w:r>
    </w:p>
    <w:tbl>
      <w:tblPr>
        <w:tblW w:type="auto" w:w="0"/>
        <w:jc w:val="center"/>
        <w:tblLayout w:type="fixed"/>
        <w:tblLook w:firstColumn="1" w:firstRow="1" w:lastColumn="0" w:lastRow="0" w:noHBand="0" w:noVBand="1" w:val="04A0"/>
        <w:tblBorders>
          <w:top w:val="single" w:sz="6" w:space="0" w:color="0F766E"/>
          <w:bottom w:val="single" w:sz="6" w:space="0" w:color="0F766E"/>
          <w:left w:val="none"/>
          <w:right w:val="none"/>
          <w:insideH w:val="single" w:sz="4" w:space="0" w:color="E2E8F0"/>
          <w:insideV w:val="none"/>
        </w:tblBorders>
      </w:tblPr>
      <w:tblGrid>
        <w:gridCol w:w="4680"/>
        <w:gridCol w:w="4680"/>
      </w:tblGrid>
      <w:tr>
        <w:tc>
          <w:tcPr>
            <w:tcW w:type="dxa" w:w="2304"/>
            <w:shd w:fill="115E59"/>
            <w:tcMar>
              <w:top w:w="120" w:type="dxa"/>
              <w:bottom w:w="120" w:type="dxa"/>
              <w:left w:w="150" w:type="dxa"/>
              <w:right w:w="150" w:type="dxa"/>
            </w:tcMar>
          </w:tcPr>
          <w:p>
            <w:pPr>
              <w:spacing w:before="0" w:after="0"/>
              <w:jc w:val="left"/>
            </w:pPr>
            <w:r>
              <w:rPr>
                <w:rFonts w:ascii="Times New Roman" w:hAnsi="Times New Roman"/>
                <w:b/>
                <w:i w:val="0"/>
                <w:color w:val="FFFFFF"/>
                <w:sz w:val="21"/>
              </w:rPr>
              <w:t>Specification Field</w:t>
            </w:r>
          </w:p>
        </w:tc>
        <w:tc>
          <w:tcPr>
            <w:tcW w:type="dxa" w:w="7056"/>
            <w:shd w:fill="115E59"/>
            <w:tcMar>
              <w:top w:w="120" w:type="dxa"/>
              <w:bottom w:w="120" w:type="dxa"/>
              <w:left w:w="150" w:type="dxa"/>
              <w:right w:w="150" w:type="dxa"/>
            </w:tcMar>
          </w:tcPr>
          <w:p>
            <w:pPr>
              <w:spacing w:before="0" w:after="0"/>
              <w:jc w:val="left"/>
            </w:pPr>
            <w:r>
              <w:rPr>
                <w:rFonts w:ascii="Times New Roman" w:hAnsi="Times New Roman"/>
                <w:b/>
                <w:i w:val="0"/>
                <w:color w:val="FFFFFF"/>
                <w:sz w:val="21"/>
              </w:rPr>
              <w:t>Detailed System Behavior</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 Case ID</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UC-GEN-01</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 Case Name</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Bilingual Language &amp; Visual Affordance Toggle</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Primary Actor</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Household &amp; Worker</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Description</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User toggles application language between English and Urdu (`اردو`) with visual icon adaptation.</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Trigger Event</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User taps the language toggle button (`EN | اردو`) in the app bar.</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Preconditions</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Application is running on device.</w:t>
            </w:r>
          </w:p>
        </w:tc>
      </w:tr>
      <w:tr>
        <w:tc>
          <w:tcPr>
            <w:tcW w:type="dxa" w:w="2304"/>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Postconditions</w:t>
            </w:r>
          </w:p>
        </w:tc>
        <w:tc>
          <w:tcPr>
            <w:tcW w:type="dxa" w:w="7056"/>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All screen strings re-render in selected language; RTL direction enabled for Urdu.</w:t>
            </w:r>
          </w:p>
        </w:tc>
      </w:tr>
      <w:tr>
        <w:tc>
          <w:tcPr>
            <w:tcW w:type="dxa" w:w="2304"/>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Main Success Flow</w:t>
            </w:r>
          </w:p>
        </w:tc>
        <w:tc>
          <w:tcPr>
            <w:tcW w:type="dxa" w:w="7056"/>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1. User clicks language toggle.</w:t>
              <w:br/>
              <w:t>2. Localization manager updates active locale state.</w:t>
              <w:br/>
              <w:t>3. String resources switch between English and Urdu dictionaries.</w:t>
              <w:br/>
              <w:t>4. Layout direction mirrors to Right-To-Left (RTL) for Urdu.</w:t>
              <w:br/>
              <w:t>5. Service category cards display high-affordance pictorial icons (Broom, Pot, Stroller, Wheelchair) for immediate visual recognition by low-literacy workers.</w:t>
            </w:r>
          </w:p>
        </w:tc>
      </w:tr>
    </w:tbl>
    <w:p>
      <w:pPr>
        <w:spacing w:after="160"/>
      </w:pPr>
    </w:p>
    <w:p>
      <w:pPr>
        <w:keepNext/>
        <w:spacing w:before="280" w:after="120"/>
      </w:pPr>
      <w:r>
        <w:rPr>
          <w:rFonts w:ascii="Times New Roman" w:hAnsi="Times New Roman"/>
          <w:b/>
          <w:i w:val="0"/>
          <w:color w:val="115E59"/>
          <w:sz w:val="28"/>
        </w:rPr>
        <w:t>3.3 Functional Requirements</w:t>
      </w:r>
    </w:p>
    <w:p>
      <w:pPr>
        <w:spacing w:before="0" w:after="120" w:line="276" w:lineRule="auto"/>
        <w:jc w:val="left"/>
      </w:pPr>
      <w:r>
        <w:rPr>
          <w:rFonts w:ascii="Times New Roman" w:hAnsi="Times New Roman"/>
          <w:b w:val="0"/>
          <w:i w:val="0"/>
          <w:color w:val="000000"/>
          <w:sz w:val="24"/>
        </w:rPr>
        <w:t>The HomeEase system implements 36 detailed functional requirements categorized by functional subsystem:</w:t>
      </w:r>
    </w:p>
    <w:tbl>
      <w:tblPr>
        <w:tblW w:type="auto" w:w="0"/>
        <w:jc w:val="center"/>
        <w:tblLayout w:type="fixed"/>
        <w:tblLook w:firstColumn="1" w:firstRow="1" w:lastColumn="0" w:lastRow="0" w:noHBand="0" w:noVBand="1" w:val="04A0"/>
        <w:tblBorders>
          <w:top w:val="single" w:sz="6" w:space="0" w:color="0F766E"/>
          <w:bottom w:val="single" w:sz="6" w:space="0" w:color="0F766E"/>
          <w:left w:val="none"/>
          <w:right w:val="none"/>
          <w:insideH w:val="single" w:sz="4" w:space="0" w:color="E2E8F0"/>
          <w:insideV w:val="none"/>
        </w:tblBorders>
      </w:tblPr>
      <w:tblGrid>
        <w:gridCol w:w="2340"/>
        <w:gridCol w:w="2340"/>
        <w:gridCol w:w="2340"/>
        <w:gridCol w:w="2340"/>
      </w:tblGrid>
      <w:tr>
        <w:tc>
          <w:tcPr>
            <w:tcW w:type="dxa" w:w="1152"/>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ID</w:t>
            </w:r>
          </w:p>
        </w:tc>
        <w:tc>
          <w:tcPr>
            <w:tcW w:type="dxa" w:w="1728"/>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Subsystem</w:t>
            </w:r>
          </w:p>
        </w:tc>
        <w:tc>
          <w:tcPr>
            <w:tcW w:type="dxa" w:w="5760"/>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Functional Requirement Specification</w:t>
            </w:r>
          </w:p>
        </w:tc>
        <w:tc>
          <w:tcPr>
            <w:tcW w:type="dxa" w:w="1008"/>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Priority</w:t>
            </w:r>
          </w:p>
        </w:tc>
      </w:tr>
      <w:tr>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FR-01</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Auth</w:t>
            </w:r>
          </w:p>
        </w:tc>
        <w:tc>
          <w:tcPr>
            <w:tcW w:type="dxa" w:w="576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allow household and worker users to register accounts using email/phone and secure password.</w:t>
            </w:r>
          </w:p>
        </w:tc>
        <w:tc>
          <w:tcPr>
            <w:tcW w:type="dxa" w:w="100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FR-02</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Auth</w:t>
            </w:r>
          </w:p>
        </w:tc>
        <w:tc>
          <w:tcPr>
            <w:tcW w:type="dxa" w:w="576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authenticate registered users and issue role-specific JSON Web Tokens (JWT).</w:t>
            </w:r>
          </w:p>
        </w:tc>
        <w:tc>
          <w:tcPr>
            <w:tcW w:type="dxa" w:w="100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FR-03</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Auth</w:t>
            </w:r>
          </w:p>
        </w:tc>
        <w:tc>
          <w:tcPr>
            <w:tcW w:type="dxa" w:w="576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mobile login interface shall allow instant switching and demo credential auto-fill for testing.</w:t>
            </w:r>
          </w:p>
        </w:tc>
        <w:tc>
          <w:tcPr>
            <w:tcW w:type="dxa" w:w="100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Medium</w:t>
            </w:r>
          </w:p>
        </w:tc>
      </w:tr>
      <w:tr>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FR-04</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Auth</w:t>
            </w:r>
          </w:p>
        </w:tc>
        <w:tc>
          <w:tcPr>
            <w:tcW w:type="dxa" w:w="576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enforce strict role-based route guards preventing unauthorized cross-role access.</w:t>
            </w:r>
          </w:p>
        </w:tc>
        <w:tc>
          <w:tcPr>
            <w:tcW w:type="dxa" w:w="100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FR-05</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Household</w:t>
            </w:r>
          </w:p>
        </w:tc>
        <w:tc>
          <w:tcPr>
            <w:tcW w:type="dxa" w:w="576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allow households to manage profile details, contact numbers, and Abbottabad locality address.</w:t>
            </w:r>
          </w:p>
        </w:tc>
        <w:tc>
          <w:tcPr>
            <w:tcW w:type="dxa" w:w="100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FR-06</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Worker</w:t>
            </w:r>
          </w:p>
        </w:tc>
        <w:tc>
          <w:tcPr>
            <w:tcW w:type="dxa" w:w="576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allow domestic workers to create professional profiles with bio, experience years, and locality.</w:t>
            </w:r>
          </w:p>
        </w:tc>
        <w:tc>
          <w:tcPr>
            <w:tcW w:type="dxa" w:w="100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FR-07</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Worker</w:t>
            </w:r>
          </w:p>
        </w:tc>
        <w:tc>
          <w:tcPr>
            <w:tcW w:type="dxa" w:w="576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allow workers to select multiple service categories (Cooking, Cleaning, Childcare, Elderly Care).</w:t>
            </w:r>
          </w:p>
        </w:tc>
        <w:tc>
          <w:tcPr>
            <w:tcW w:type="dxa" w:w="100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FR-08</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Worker</w:t>
            </w:r>
          </w:p>
        </w:tc>
        <w:tc>
          <w:tcPr>
            <w:tcW w:type="dxa" w:w="576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allow workers to configure hourly or visit-based charge rates per service category.</w:t>
            </w:r>
          </w:p>
        </w:tc>
        <w:tc>
          <w:tcPr>
            <w:tcW w:type="dxa" w:w="100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Medium</w:t>
            </w:r>
          </w:p>
        </w:tc>
      </w:tr>
      <w:tr>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FR-09</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Worker</w:t>
            </w:r>
          </w:p>
        </w:tc>
        <w:tc>
          <w:tcPr>
            <w:tcW w:type="dxa" w:w="576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provide a weekly calendar allowing workers to toggle availability time slots by day of week.</w:t>
            </w:r>
          </w:p>
        </w:tc>
        <w:tc>
          <w:tcPr>
            <w:tcW w:type="dxa" w:w="100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FR-10</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KYC</w:t>
            </w:r>
          </w:p>
        </w:tc>
        <w:tc>
          <w:tcPr>
            <w:tcW w:type="dxa" w:w="576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allow workers to upload CNIC front/back images and character certificates for verification.</w:t>
            </w:r>
          </w:p>
        </w:tc>
        <w:tc>
          <w:tcPr>
            <w:tcW w:type="dxa" w:w="100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FR-11</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AI Matching</w:t>
            </w:r>
          </w:p>
        </w:tc>
        <w:tc>
          <w:tcPr>
            <w:tcW w:type="dxa" w:w="576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vectorize household requirements and compute Content-Based Cosine Similarity on worker skills.</w:t>
            </w:r>
          </w:p>
        </w:tc>
        <w:tc>
          <w:tcPr>
            <w:tcW w:type="dxa" w:w="100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FR-12</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AI Matching</w:t>
            </w:r>
          </w:p>
        </w:tc>
        <w:tc>
          <w:tcPr>
            <w:tcW w:type="dxa" w:w="576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calculate Haversine geographic distance between household and worker coordinates.</w:t>
            </w:r>
          </w:p>
        </w:tc>
        <w:tc>
          <w:tcPr>
            <w:tcW w:type="dxa" w:w="100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FR-13</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AI Matching</w:t>
            </w:r>
          </w:p>
        </w:tc>
        <w:tc>
          <w:tcPr>
            <w:tcW w:type="dxa" w:w="576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compute a composite recommendation match score and display transparent Explainable AI badges.</w:t>
            </w:r>
          </w:p>
        </w:tc>
        <w:tc>
          <w:tcPr>
            <w:tcW w:type="dxa" w:w="100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FR-14</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Job Board</w:t>
            </w:r>
          </w:p>
        </w:tc>
        <w:tc>
          <w:tcPr>
            <w:tcW w:type="dxa" w:w="576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allow households to publish open domestic job postings with category, budget, date, and locality.</w:t>
            </w:r>
          </w:p>
        </w:tc>
        <w:tc>
          <w:tcPr>
            <w:tcW w:type="dxa" w:w="100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FR-15</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Job Board</w:t>
            </w:r>
          </w:p>
        </w:tc>
        <w:tc>
          <w:tcPr>
            <w:tcW w:type="dxa" w:w="576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display a live feed of open household gigs to domestic workers matching their category and locality.</w:t>
            </w:r>
          </w:p>
        </w:tc>
        <w:tc>
          <w:tcPr>
            <w:tcW w:type="dxa" w:w="100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FR-16</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Job Board</w:t>
            </w:r>
          </w:p>
        </w:tc>
        <w:tc>
          <w:tcPr>
            <w:tcW w:type="dxa" w:w="576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allow domestic workers to apply to open household job postings with a single tap.</w:t>
            </w:r>
          </w:p>
        </w:tc>
        <w:tc>
          <w:tcPr>
            <w:tcW w:type="dxa" w:w="100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FR-17</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Job Board</w:t>
            </w:r>
          </w:p>
        </w:tc>
        <w:tc>
          <w:tcPr>
            <w:tcW w:type="dxa" w:w="576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notify households immediately upon receiving worker job applications.</w:t>
            </w:r>
          </w:p>
        </w:tc>
        <w:tc>
          <w:tcPr>
            <w:tcW w:type="dxa" w:w="100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FR-18</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Booking</w:t>
            </w:r>
          </w:p>
        </w:tc>
        <w:tc>
          <w:tcPr>
            <w:tcW w:type="dxa" w:w="576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allow households to create direct booking requests with date, start time, end time, and notes.</w:t>
            </w:r>
          </w:p>
        </w:tc>
        <w:tc>
          <w:tcPr>
            <w:tcW w:type="dxa" w:w="100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FR-19</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Booking</w:t>
            </w:r>
          </w:p>
        </w:tc>
        <w:tc>
          <w:tcPr>
            <w:tcW w:type="dxa" w:w="576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prevent double-booking by verifying worker availability and detecting overlapping booking intervals.</w:t>
            </w:r>
          </w:p>
        </w:tc>
        <w:tc>
          <w:tcPr>
            <w:tcW w:type="dxa" w:w="100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FR-20</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Booking</w:t>
            </w:r>
          </w:p>
        </w:tc>
        <w:tc>
          <w:tcPr>
            <w:tcW w:type="dxa" w:w="576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allow workers to accept or reject incoming booking requests with immediate household alert.</w:t>
            </w:r>
          </w:p>
        </w:tc>
        <w:tc>
          <w:tcPr>
            <w:tcW w:type="dxa" w:w="100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FR-21</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Booking</w:t>
            </w:r>
          </w:p>
        </w:tc>
        <w:tc>
          <w:tcPr>
            <w:tcW w:type="dxa" w:w="576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maintain booking state transitions across: Pending, Accepted, Rejected, Completed, and Cancelled.</w:t>
            </w:r>
          </w:p>
        </w:tc>
        <w:tc>
          <w:tcPr>
            <w:tcW w:type="dxa" w:w="100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FR-22</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Agreement</w:t>
            </w:r>
          </w:p>
        </w:tc>
        <w:tc>
          <w:tcPr>
            <w:tcW w:type="dxa" w:w="576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auto-generate a structured service agreement specifying tasks, hours, rate, and terms upon acceptance.</w:t>
            </w:r>
          </w:p>
        </w:tc>
        <w:tc>
          <w:tcPr>
            <w:tcW w:type="dxa" w:w="100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FR-23</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Agreement</w:t>
            </w:r>
          </w:p>
        </w:tc>
        <w:tc>
          <w:tcPr>
            <w:tcW w:type="dxa" w:w="576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require both household and worker to view and digitally sign the agreement before job start.</w:t>
            </w:r>
          </w:p>
        </w:tc>
        <w:tc>
          <w:tcPr>
            <w:tcW w:type="dxa" w:w="100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FR-24</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Payment</w:t>
            </w:r>
          </w:p>
        </w:tc>
        <w:tc>
          <w:tcPr>
            <w:tcW w:type="dxa" w:w="576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allow households to log manual payments made via Cash, JazzCash, or EasyPaisa.</w:t>
            </w:r>
          </w:p>
        </w:tc>
        <w:tc>
          <w:tcPr>
            <w:tcW w:type="dxa" w:w="100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FR-25</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Payment</w:t>
            </w:r>
          </w:p>
        </w:tc>
        <w:tc>
          <w:tcPr>
            <w:tcW w:type="dxa" w:w="576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allow households to upload digital receipt images or transaction screenshots.</w:t>
            </w:r>
          </w:p>
        </w:tc>
        <w:tc>
          <w:tcPr>
            <w:tcW w:type="dxa" w:w="100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FR-26</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Payment</w:t>
            </w:r>
          </w:p>
        </w:tc>
        <w:tc>
          <w:tcPr>
            <w:tcW w:type="dxa" w:w="576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allow workers to inspect payment details and confirm payment receipt.</w:t>
            </w:r>
          </w:p>
        </w:tc>
        <w:tc>
          <w:tcPr>
            <w:tcW w:type="dxa" w:w="100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FR-27</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Review</w:t>
            </w:r>
          </w:p>
        </w:tc>
        <w:tc>
          <w:tcPr>
            <w:tcW w:type="dxa" w:w="576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allow households to submit segmented ratings for punctuality, behavior, and quality (1-5 stars).</w:t>
            </w:r>
          </w:p>
        </w:tc>
        <w:tc>
          <w:tcPr>
            <w:tcW w:type="dxa" w:w="100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FR-28</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Review</w:t>
            </w:r>
          </w:p>
        </w:tc>
        <w:tc>
          <w:tcPr>
            <w:tcW w:type="dxa" w:w="576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automatically recompute worker cumulative average ratings upon review submission.</w:t>
            </w:r>
          </w:p>
        </w:tc>
        <w:tc>
          <w:tcPr>
            <w:tcW w:type="dxa" w:w="100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FR-29</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Dispute</w:t>
            </w:r>
          </w:p>
        </w:tc>
        <w:tc>
          <w:tcPr>
            <w:tcW w:type="dxa" w:w="576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allow either party to raise a transaction dispute linked to a specific booking or payment record.</w:t>
            </w:r>
          </w:p>
        </w:tc>
        <w:tc>
          <w:tcPr>
            <w:tcW w:type="dxa" w:w="100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Medium</w:t>
            </w:r>
          </w:p>
        </w:tc>
      </w:tr>
      <w:tr>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FR-30</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Dispute</w:t>
            </w:r>
          </w:p>
        </w:tc>
        <w:tc>
          <w:tcPr>
            <w:tcW w:type="dxa" w:w="576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allow users to upload evidence photos and descriptions for admin dispute mediation.</w:t>
            </w:r>
          </w:p>
        </w:tc>
        <w:tc>
          <w:tcPr>
            <w:tcW w:type="dxa" w:w="100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Medium</w:t>
            </w:r>
          </w:p>
        </w:tc>
      </w:tr>
      <w:tr>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FR-31</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Admin</w:t>
            </w:r>
          </w:p>
        </w:tc>
        <w:tc>
          <w:tcPr>
            <w:tcW w:type="dxa" w:w="576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provide a secure React web dashboard for platform administrators.</w:t>
            </w:r>
          </w:p>
        </w:tc>
        <w:tc>
          <w:tcPr>
            <w:tcW w:type="dxa" w:w="100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FR-32</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Admin</w:t>
            </w:r>
          </w:p>
        </w:tc>
        <w:tc>
          <w:tcPr>
            <w:tcW w:type="dxa" w:w="576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admin web dashboard shall display a worker verification queue with full-resolution document inspection.</w:t>
            </w:r>
          </w:p>
        </w:tc>
        <w:tc>
          <w:tcPr>
            <w:tcW w:type="dxa" w:w="100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FR-33</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Admin</w:t>
            </w:r>
          </w:p>
        </w:tc>
        <w:tc>
          <w:tcPr>
            <w:tcW w:type="dxa" w:w="576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admin web dashboard shall provide dispute mediation tools allowing admins to review evidence and resolve claims.</w:t>
            </w:r>
          </w:p>
        </w:tc>
        <w:tc>
          <w:tcPr>
            <w:tcW w:type="dxa" w:w="100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FR-34</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Admin</w:t>
            </w:r>
          </w:p>
        </w:tc>
        <w:tc>
          <w:tcPr>
            <w:tcW w:type="dxa" w:w="576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admin web dashboard shall provide platform audit tables for users, bookings, and payments with CSV export.</w:t>
            </w:r>
          </w:p>
        </w:tc>
        <w:tc>
          <w:tcPr>
            <w:tcW w:type="dxa" w:w="100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Medium</w:t>
            </w:r>
          </w:p>
        </w:tc>
      </w:tr>
      <w:tr>
        <w:tc>
          <w:tcPr>
            <w:tcW w:type="dxa" w:w="115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FR-35</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Localization</w:t>
            </w:r>
          </w:p>
        </w:tc>
        <w:tc>
          <w:tcPr>
            <w:tcW w:type="dxa" w:w="5760"/>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mobile app shall provide a global bilingual toggle supporting English and Urdu (`اردو`) with RTL layout.</w:t>
            </w:r>
          </w:p>
        </w:tc>
        <w:tc>
          <w:tcPr>
            <w:tcW w:type="dxa" w:w="100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r>
        <w:tc>
          <w:tcPr>
            <w:tcW w:type="dxa" w:w="115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FR-36</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Accessibility</w:t>
            </w:r>
          </w:p>
        </w:tc>
        <w:tc>
          <w:tcPr>
            <w:tcW w:type="dxa" w:w="5760"/>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The system shall render high-affordance pictorial icons for all service tasks and booking states to support low-literacy workers.</w:t>
            </w:r>
          </w:p>
        </w:tc>
        <w:tc>
          <w:tcPr>
            <w:tcW w:type="dxa" w:w="100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High</w:t>
            </w:r>
          </w:p>
        </w:tc>
      </w:tr>
    </w:tbl>
    <w:p>
      <w:pPr>
        <w:keepNext/>
        <w:spacing w:before="280" w:after="120"/>
      </w:pPr>
      <w:r>
        <w:rPr>
          <w:rFonts w:ascii="Times New Roman" w:hAnsi="Times New Roman"/>
          <w:b/>
          <w:i w:val="0"/>
          <w:color w:val="115E59"/>
          <w:sz w:val="28"/>
        </w:rPr>
        <w:t>3.4 Non-Functional Requirements</w:t>
      </w:r>
    </w:p>
    <w:p>
      <w:pPr>
        <w:spacing w:before="0" w:after="120" w:line="276" w:lineRule="auto"/>
        <w:jc w:val="left"/>
      </w:pPr>
      <w:r>
        <w:rPr>
          <w:rFonts w:ascii="Times New Roman" w:hAnsi="Times New Roman"/>
          <w:b w:val="0"/>
          <w:i w:val="0"/>
          <w:color w:val="000000"/>
          <w:sz w:val="24"/>
        </w:rPr>
        <w:t>The platform complies with stringent quality attributes and operational constraints:</w:t>
      </w:r>
    </w:p>
    <w:p>
      <w:pPr>
        <w:spacing w:before="0" w:after="120" w:line="276" w:lineRule="auto"/>
        <w:jc w:val="left"/>
      </w:pPr>
      <w:r>
        <w:rPr>
          <w:rFonts w:ascii="Times New Roman" w:hAnsi="Times New Roman"/>
          <w:b w:val="0"/>
          <w:i w:val="0"/>
          <w:color w:val="000000"/>
          <w:sz w:val="24"/>
        </w:rPr>
        <w:t>1. Usability &amp; Low-Literacy Accessibility: All critical worker interactions (accepting bookings, browsing jobs, confirming payments) must be executable within a maximum of 3 taps from the home screen. Category selection must provide high-contrast pictorial icons recognizable without reading text. Urdu layout must render cleanly in Noto Nastaliq / Urdu fonts with correct right-to-left padding.</w:t>
      </w:r>
    </w:p>
    <w:p>
      <w:pPr>
        <w:spacing w:before="0" w:after="120" w:line="276" w:lineRule="auto"/>
        <w:jc w:val="left"/>
      </w:pPr>
      <w:r>
        <w:rPr>
          <w:rFonts w:ascii="Times New Roman" w:hAnsi="Times New Roman"/>
          <w:b w:val="0"/>
          <w:i w:val="0"/>
          <w:color w:val="000000"/>
          <w:sz w:val="24"/>
        </w:rPr>
        <w:t>2. Performance &amp; Algorithmic Latency: The Content-Based AI recommendation algorithm must compute match scores across up to 500 active worker profiles in less than 250 milliseconds on modern smartphone hardware. Mobile UI transitions must maintain 60 frames per second (FPS).</w:t>
      </w:r>
    </w:p>
    <w:p>
      <w:pPr>
        <w:spacing w:before="0" w:after="120" w:line="276" w:lineRule="auto"/>
        <w:jc w:val="left"/>
      </w:pPr>
      <w:r>
        <w:rPr>
          <w:rFonts w:ascii="Times New Roman" w:hAnsi="Times New Roman"/>
          <w:b w:val="0"/>
          <w:i w:val="0"/>
          <w:color w:val="000000"/>
          <w:sz w:val="24"/>
        </w:rPr>
        <w:t>3. Reliability &amp; Scheduling Integrity: The system must enforce strict concurrency controls preventing overlapping bookings for the same worker. Service uptime must exceed 99.5% excluding announced maintenance.</w:t>
      </w:r>
    </w:p>
    <w:p>
      <w:pPr>
        <w:spacing w:before="0" w:after="120" w:line="276" w:lineRule="auto"/>
        <w:jc w:val="left"/>
      </w:pPr>
      <w:r>
        <w:rPr>
          <w:rFonts w:ascii="Times New Roman" w:hAnsi="Times New Roman"/>
          <w:b w:val="0"/>
          <w:i w:val="0"/>
          <w:color w:val="000000"/>
          <w:sz w:val="24"/>
        </w:rPr>
        <w:t>4. Security &amp; Data Protection: User passwords must be salted and hashed using bcrypt before database storage. Document scans (CNIC, character certificates) stored in Supabase Storage must be protected by Row Level Security (RLS) policies allowing access solely to the document owner and authenticated administrators.</w:t>
      </w:r>
    </w:p>
    <w:p>
      <w:pPr>
        <w:spacing w:before="0" w:after="120" w:line="276" w:lineRule="auto"/>
        <w:jc w:val="left"/>
      </w:pPr>
      <w:r>
        <w:rPr>
          <w:rFonts w:ascii="Times New Roman" w:hAnsi="Times New Roman"/>
          <w:b w:val="0"/>
          <w:i w:val="0"/>
          <w:color w:val="000000"/>
          <w:sz w:val="24"/>
        </w:rPr>
        <w:t>5. Portability &amp; Maintainability: The Flutter mobile codebase must execute uniformly across Android (API level 24+) and iOS (iOS 13+). Business logic must be cleanly decoupled from presentation widgets using service repositories.</w:t>
      </w:r>
    </w:p>
    <w:p>
      <w:r>
        <w:br w:type="page"/>
      </w:r>
    </w:p>
    <w:p>
      <w:pPr>
        <w:keepNext/>
        <w:spacing w:before="400" w:after="160"/>
      </w:pPr>
      <w:r>
        <w:rPr>
          <w:rFonts w:ascii="Times New Roman" w:hAnsi="Times New Roman"/>
          <w:b/>
          <w:i w:val="0"/>
          <w:color w:val="0F766E"/>
          <w:sz w:val="36"/>
        </w:rPr>
        <w:t>Chapter 4: Design and Architecture</w:t>
      </w:r>
    </w:p>
    <w:p>
      <w:pPr>
        <w:keepNext/>
        <w:spacing w:before="280" w:after="120"/>
      </w:pPr>
      <w:r>
        <w:rPr>
          <w:rFonts w:ascii="Times New Roman" w:hAnsi="Times New Roman"/>
          <w:b/>
          <w:i w:val="0"/>
          <w:color w:val="115E59"/>
          <w:sz w:val="28"/>
        </w:rPr>
        <w:t>4.1 System Architecture</w:t>
      </w:r>
    </w:p>
    <w:p>
      <w:pPr>
        <w:spacing w:before="0" w:after="120" w:line="276" w:lineRule="auto"/>
        <w:jc w:val="left"/>
      </w:pPr>
      <w:r>
        <w:rPr>
          <w:rFonts w:ascii="Times New Roman" w:hAnsi="Times New Roman"/>
          <w:b w:val="0"/>
          <w:i w:val="0"/>
          <w:color w:val="000000"/>
          <w:sz w:val="24"/>
        </w:rPr>
        <w:t>HomeEase is designed around a three-tier, service-oriented architecture incorporating modern cloud infrastructure and local algorithmic intelligence. The architectural decomposition comprises:</w:t>
      </w:r>
    </w:p>
    <w:p>
      <w:pPr>
        <w:spacing w:before="0" w:after="120" w:line="276" w:lineRule="auto"/>
        <w:jc w:val="left"/>
      </w:pPr>
      <w:r>
        <w:rPr>
          <w:rFonts w:ascii="Times New Roman" w:hAnsi="Times New Roman"/>
          <w:b w:val="0"/>
          <w:i w:val="0"/>
          <w:color w:val="000000"/>
          <w:sz w:val="24"/>
        </w:rPr>
        <w:t>1. Presentation Tier: Cross-platform Flutter mobile client providing role-adaptive interfaces for households and workers, integrated with a dynamic Bilingual Engine (EN/اردو) and a Visual Iconography Affordance layer. Platform administrators access a dedicated React + Vite + TypeScript web dashboard.</w:t>
      </w:r>
    </w:p>
    <w:p>
      <w:pPr>
        <w:spacing w:before="0" w:after="120" w:line="276" w:lineRule="auto"/>
        <w:jc w:val="left"/>
      </w:pPr>
      <w:r>
        <w:rPr>
          <w:rFonts w:ascii="Times New Roman" w:hAnsi="Times New Roman"/>
          <w:b w:val="0"/>
          <w:i w:val="0"/>
          <w:color w:val="000000"/>
          <w:sz w:val="24"/>
        </w:rPr>
        <w:t>2. Application &amp; Service Tier: Decoupled business logic services governing Authentication, Booking state machines, Service Agreement generation, Bidirectional Job Marketplace dispatching, Dispute tracking, and the Content-Based AI Recommendation Engine.</w:t>
      </w:r>
    </w:p>
    <w:p>
      <w:pPr>
        <w:spacing w:before="0" w:after="120" w:line="276" w:lineRule="auto"/>
        <w:jc w:val="left"/>
      </w:pPr>
      <w:r>
        <w:rPr>
          <w:rFonts w:ascii="Times New Roman" w:hAnsi="Times New Roman"/>
          <w:b w:val="0"/>
          <w:i w:val="0"/>
          <w:color w:val="000000"/>
          <w:sz w:val="24"/>
        </w:rPr>
        <w:t>3. Data &amp; Cloud Storage Tier: Supabase managed PostgreSQL 15+ relational database with Row Level Security (RLS) policy enforcement, PostgREST API layer, and encrypted object storage buckets for KYC documents and payment receipts.</w:t>
      </w:r>
    </w:p>
    <w:p>
      <w:pPr>
        <w:keepNext/>
        <w:spacing w:before="240" w:after="80"/>
        <w:jc w:val="center"/>
      </w:pPr>
      <w:r>
        <w:drawing>
          <wp:inline xmlns:a="http://schemas.openxmlformats.org/drawingml/2006/main" xmlns:pic="http://schemas.openxmlformats.org/drawingml/2006/picture">
            <wp:extent cx="5303520" cy="3138254"/>
            <wp:docPr id="3" name="Picture 3"/>
            <wp:cNvGraphicFramePr>
              <a:graphicFrameLocks noChangeAspect="1"/>
            </wp:cNvGraphicFramePr>
            <a:graphic>
              <a:graphicData uri="http://schemas.openxmlformats.org/drawingml/2006/picture">
                <pic:pic>
                  <pic:nvPicPr>
                    <pic:cNvPr id="0" name="Archtecture.png"/>
                    <pic:cNvPicPr/>
                  </pic:nvPicPr>
                  <pic:blipFill>
                    <a:blip r:embed="rId13"/>
                    <a:stretch>
                      <a:fillRect/>
                    </a:stretch>
                  </pic:blipFill>
                  <pic:spPr>
                    <a:xfrm>
                      <a:off x="0" y="0"/>
                      <a:ext cx="5303520" cy="3138254"/>
                    </a:xfrm>
                    <a:prstGeom prst="rect"/>
                  </pic:spPr>
                </pic:pic>
              </a:graphicData>
            </a:graphic>
          </wp:inline>
        </w:drawing>
      </w:r>
    </w:p>
    <w:p>
      <w:pPr>
        <w:spacing w:before="40" w:after="240"/>
        <w:jc w:val="center"/>
      </w:pPr>
      <w:r>
        <w:rPr>
          <w:rFonts w:ascii="Times New Roman" w:hAnsi="Times New Roman"/>
          <w:b w:val="0"/>
          <w:i/>
          <w:color w:val="334155"/>
          <w:sz w:val="20"/>
        </w:rPr>
        <w:t>Figure 4.1: High-Level System Architecture of HomeEase Platform</w:t>
      </w:r>
    </w:p>
    <w:p>
      <w:pPr>
        <w:keepNext/>
        <w:spacing w:before="280" w:after="120"/>
      </w:pPr>
      <w:r>
        <w:rPr>
          <w:rFonts w:ascii="Times New Roman" w:hAnsi="Times New Roman"/>
          <w:b/>
          <w:i w:val="0"/>
          <w:color w:val="115E59"/>
          <w:sz w:val="28"/>
        </w:rPr>
        <w:t>4.2 Process Flow Representation</w:t>
      </w:r>
    </w:p>
    <w:p>
      <w:pPr>
        <w:spacing w:before="0" w:after="120" w:line="276" w:lineRule="auto"/>
        <w:jc w:val="left"/>
      </w:pPr>
      <w:r>
        <w:rPr>
          <w:rFonts w:ascii="Times New Roman" w:hAnsi="Times New Roman"/>
          <w:b w:val="0"/>
          <w:i w:val="0"/>
          <w:color w:val="000000"/>
          <w:sz w:val="24"/>
        </w:rPr>
        <w:t>The platform orchestrates multi-step, multi-actor operational workflows across the booking, marketplace, recommendation, and verification cycles:</w:t>
      </w:r>
    </w:p>
    <w:p>
      <w:pPr>
        <w:spacing w:before="0" w:after="120" w:line="276" w:lineRule="auto"/>
        <w:jc w:val="left"/>
      </w:pPr>
      <w:r>
        <w:rPr>
          <w:rFonts w:ascii="Times New Roman" w:hAnsi="Times New Roman"/>
          <w:b w:val="0"/>
          <w:i w:val="0"/>
          <w:color w:val="000000"/>
          <w:sz w:val="24"/>
        </w:rPr>
        <w:t>- Worker Booking &amp; Service Agreement Flow: Household discovers worker via AI search -&gt; submits booking request -&gt; worker receives alert and reviews scope -&gt; worker accepts -&gt; system auto-compiles legal terms and signs agreement -&gt; service performed -&gt; payment logged and confirmed -&gt; review recorded.</w:t>
      </w:r>
    </w:p>
    <w:p>
      <w:pPr>
        <w:spacing w:before="0" w:after="120" w:line="276" w:lineRule="auto"/>
        <w:jc w:val="left"/>
      </w:pPr>
      <w:r>
        <w:rPr>
          <w:rFonts w:ascii="Times New Roman" w:hAnsi="Times New Roman"/>
          <w:b w:val="0"/>
          <w:i w:val="0"/>
          <w:color w:val="000000"/>
          <w:sz w:val="24"/>
        </w:rPr>
        <w:t>- Bidirectional Job Marketplace Flow: Household posts open gig -&gt; job validated and saved -&gt; matching workers alerted via feed -&gt; worker applies with one tap -&gt; household reviews worker profile -&gt; household accepts proposal -&gt; transitions to active booking.</w:t>
      </w:r>
    </w:p>
    <w:p>
      <w:pPr>
        <w:spacing w:before="0" w:after="120" w:line="276" w:lineRule="auto"/>
        <w:jc w:val="left"/>
      </w:pPr>
      <w:r>
        <w:rPr>
          <w:rFonts w:ascii="Times New Roman" w:hAnsi="Times New Roman"/>
          <w:b w:val="0"/>
          <w:i w:val="0"/>
          <w:color w:val="000000"/>
          <w:sz w:val="24"/>
        </w:rPr>
        <w:t>- Content-Based AI Recommendation Flow: Household selects category and enters locality -&gt; system retrieves nearby active profiles -&gt; vectorizes skills -&gt; calculates Cosine Similarity, Haversine geo-decay, and rating factor -&gt; computes composite score -&gt; renders Explainable AI match badge.</w:t>
      </w:r>
    </w:p>
    <w:p>
      <w:pPr>
        <w:keepNext/>
        <w:spacing w:before="240" w:after="80"/>
        <w:jc w:val="center"/>
      </w:pPr>
      <w:r>
        <w:drawing>
          <wp:inline xmlns:a="http://schemas.openxmlformats.org/drawingml/2006/main" xmlns:pic="http://schemas.openxmlformats.org/drawingml/2006/picture">
            <wp:extent cx="5303520" cy="10912110"/>
            <wp:docPr id="4" name="Picture 4"/>
            <wp:cNvGraphicFramePr>
              <a:graphicFrameLocks noChangeAspect="1"/>
            </wp:cNvGraphicFramePr>
            <a:graphic>
              <a:graphicData uri="http://schemas.openxmlformats.org/drawingml/2006/picture">
                <pic:pic>
                  <pic:nvPicPr>
                    <pic:cNvPr id="0" name="ProcessFlow.png"/>
                    <pic:cNvPicPr/>
                  </pic:nvPicPr>
                  <pic:blipFill>
                    <a:blip r:embed="rId14"/>
                    <a:stretch>
                      <a:fillRect/>
                    </a:stretch>
                  </pic:blipFill>
                  <pic:spPr>
                    <a:xfrm>
                      <a:off x="0" y="0"/>
                      <a:ext cx="5303520" cy="10912110"/>
                    </a:xfrm>
                    <a:prstGeom prst="rect"/>
                  </pic:spPr>
                </pic:pic>
              </a:graphicData>
            </a:graphic>
          </wp:inline>
        </w:drawing>
      </w:r>
    </w:p>
    <w:p>
      <w:pPr>
        <w:spacing w:before="40" w:after="240"/>
        <w:jc w:val="center"/>
      </w:pPr>
      <w:r>
        <w:rPr>
          <w:rFonts w:ascii="Times New Roman" w:hAnsi="Times New Roman"/>
          <w:b w:val="0"/>
          <w:i/>
          <w:color w:val="334155"/>
          <w:sz w:val="20"/>
        </w:rPr>
        <w:t>Figure 4.2: End-to-End Operational Process Flow in HomeEase</w:t>
      </w:r>
    </w:p>
    <w:p>
      <w:pPr>
        <w:keepNext/>
        <w:spacing w:before="280" w:after="120"/>
      </w:pPr>
      <w:r>
        <w:rPr>
          <w:rFonts w:ascii="Times New Roman" w:hAnsi="Times New Roman"/>
          <w:b/>
          <w:i w:val="0"/>
          <w:color w:val="115E59"/>
          <w:sz w:val="28"/>
        </w:rPr>
        <w:t>4.3 Design Models</w:t>
      </w:r>
    </w:p>
    <w:p>
      <w:pPr>
        <w:keepNext/>
        <w:spacing w:before="200" w:after="80"/>
      </w:pPr>
      <w:r>
        <w:rPr>
          <w:rFonts w:ascii="Times New Roman" w:hAnsi="Times New Roman"/>
          <w:b/>
          <w:i w:val="0"/>
          <w:color w:val="1E293B"/>
          <w:sz w:val="24"/>
        </w:rPr>
        <w:t>4.3.1 Class Diagram</w:t>
      </w:r>
    </w:p>
    <w:p>
      <w:pPr>
        <w:spacing w:before="0" w:after="120" w:line="276" w:lineRule="auto"/>
        <w:jc w:val="left"/>
      </w:pPr>
      <w:r>
        <w:rPr>
          <w:rFonts w:ascii="Times New Roman" w:hAnsi="Times New Roman"/>
          <w:b w:val="0"/>
          <w:i w:val="0"/>
          <w:color w:val="000000"/>
          <w:sz w:val="24"/>
        </w:rPr>
        <w:t>The object-oriented design model encapsulates the system domain into cohesive entity and service classes:</w:t>
      </w:r>
    </w:p>
    <w:p>
      <w:pPr>
        <w:spacing w:before="0" w:after="120" w:line="276" w:lineRule="auto"/>
        <w:jc w:val="left"/>
      </w:pPr>
      <w:r>
        <w:rPr>
          <w:rFonts w:ascii="Times New Roman" w:hAnsi="Times New Roman"/>
          <w:b w:val="0"/>
          <w:i w:val="0"/>
          <w:color w:val="000000"/>
          <w:sz w:val="24"/>
        </w:rPr>
        <w:t>- User: Base authentication class managing credentials, contact data, and role type.</w:t>
      </w:r>
    </w:p>
    <w:p>
      <w:pPr>
        <w:spacing w:before="0" w:after="120" w:line="276" w:lineRule="auto"/>
        <w:jc w:val="left"/>
      </w:pPr>
      <w:r>
        <w:rPr>
          <w:rFonts w:ascii="Times New Roman" w:hAnsi="Times New Roman"/>
          <w:b w:val="0"/>
          <w:i w:val="0"/>
          <w:color w:val="000000"/>
          <w:sz w:val="24"/>
        </w:rPr>
        <w:t>- HouseholdProfile &amp; WorkerProfile: Specialized role models capturing addresses, GPS coordinates, bios, charges, and verification states.</w:t>
      </w:r>
    </w:p>
    <w:p>
      <w:pPr>
        <w:spacing w:before="0" w:after="120" w:line="276" w:lineRule="auto"/>
        <w:jc w:val="left"/>
      </w:pPr>
      <w:r>
        <w:rPr>
          <w:rFonts w:ascii="Times New Roman" w:hAnsi="Times New Roman"/>
          <w:b w:val="0"/>
          <w:i w:val="0"/>
          <w:color w:val="000000"/>
          <w:sz w:val="24"/>
        </w:rPr>
        <w:t>- ServiceCategory &amp; WorkerService: Defines domain specializations and pricing structures.</w:t>
      </w:r>
    </w:p>
    <w:p>
      <w:pPr>
        <w:spacing w:before="0" w:after="120" w:line="276" w:lineRule="auto"/>
        <w:jc w:val="left"/>
      </w:pPr>
      <w:r>
        <w:rPr>
          <w:rFonts w:ascii="Times New Roman" w:hAnsi="Times New Roman"/>
          <w:b w:val="0"/>
          <w:i w:val="0"/>
          <w:color w:val="000000"/>
          <w:sz w:val="24"/>
        </w:rPr>
        <w:t>- Booking &amp; ServiceAgreement: Transactional entities coordinating scheduling, financial terms, and legal contractual state.</w:t>
      </w:r>
    </w:p>
    <w:p>
      <w:pPr>
        <w:spacing w:before="0" w:after="120" w:line="276" w:lineRule="auto"/>
        <w:jc w:val="left"/>
      </w:pPr>
      <w:r>
        <w:rPr>
          <w:rFonts w:ascii="Times New Roman" w:hAnsi="Times New Roman"/>
          <w:b w:val="0"/>
          <w:i w:val="0"/>
          <w:color w:val="000000"/>
          <w:sz w:val="24"/>
        </w:rPr>
        <w:t>- JobPost &amp; JobApplication: Bidirectional marketplace classes managing open gigs and worker proposals.</w:t>
      </w:r>
    </w:p>
    <w:p>
      <w:pPr>
        <w:spacing w:before="0" w:after="120" w:line="276" w:lineRule="auto"/>
        <w:jc w:val="left"/>
      </w:pPr>
      <w:r>
        <w:rPr>
          <w:rFonts w:ascii="Times New Roman" w:hAnsi="Times New Roman"/>
          <w:b w:val="0"/>
          <w:i w:val="0"/>
          <w:color w:val="000000"/>
          <w:sz w:val="24"/>
        </w:rPr>
        <w:t>- AIRecommendationEngine &amp; LocalizationService: Algorithmic matching and multilingual presentation components.</w:t>
      </w:r>
    </w:p>
    <w:p>
      <w:pPr>
        <w:spacing w:before="0" w:after="120" w:line="276" w:lineRule="auto"/>
        <w:jc w:val="left"/>
      </w:pPr>
      <w:r>
        <w:rPr>
          <w:rFonts w:ascii="Times New Roman" w:hAnsi="Times New Roman"/>
          <w:b w:val="0"/>
          <w:i w:val="0"/>
          <w:color w:val="000000"/>
          <w:sz w:val="24"/>
        </w:rPr>
        <w:t>- PaymentRecord, Review, Dispute, and VerificationRequest: Regulatory, audit, and quality governance classes.</w:t>
      </w:r>
    </w:p>
    <w:p>
      <w:pPr>
        <w:keepNext/>
        <w:spacing w:before="240" w:after="80"/>
        <w:jc w:val="center"/>
      </w:pPr>
      <w:r>
        <w:drawing>
          <wp:inline xmlns:a="http://schemas.openxmlformats.org/drawingml/2006/main" xmlns:pic="http://schemas.openxmlformats.org/drawingml/2006/picture">
            <wp:extent cx="5303520" cy="3787843"/>
            <wp:docPr id="5" name="Picture 5"/>
            <wp:cNvGraphicFramePr>
              <a:graphicFrameLocks noChangeAspect="1"/>
            </wp:cNvGraphicFramePr>
            <a:graphic>
              <a:graphicData uri="http://schemas.openxmlformats.org/drawingml/2006/picture">
                <pic:pic>
                  <pic:nvPicPr>
                    <pic:cNvPr id="0" name="Class.png"/>
                    <pic:cNvPicPr/>
                  </pic:nvPicPr>
                  <pic:blipFill>
                    <a:blip r:embed="rId15"/>
                    <a:stretch>
                      <a:fillRect/>
                    </a:stretch>
                  </pic:blipFill>
                  <pic:spPr>
                    <a:xfrm>
                      <a:off x="0" y="0"/>
                      <a:ext cx="5303520" cy="3787843"/>
                    </a:xfrm>
                    <a:prstGeom prst="rect"/>
                  </pic:spPr>
                </pic:pic>
              </a:graphicData>
            </a:graphic>
          </wp:inline>
        </w:drawing>
      </w:r>
    </w:p>
    <w:p>
      <w:pPr>
        <w:spacing w:before="40" w:after="240"/>
        <w:jc w:val="center"/>
      </w:pPr>
      <w:r>
        <w:rPr>
          <w:rFonts w:ascii="Times New Roman" w:hAnsi="Times New Roman"/>
          <w:b w:val="0"/>
          <w:i/>
          <w:color w:val="334155"/>
          <w:sz w:val="20"/>
        </w:rPr>
        <w:t>Figure 4.3: Class Diagram of HomeEase Core Domain Models</w:t>
      </w:r>
    </w:p>
    <w:p>
      <w:pPr>
        <w:keepNext/>
        <w:spacing w:before="200" w:after="80"/>
      </w:pPr>
      <w:r>
        <w:rPr>
          <w:rFonts w:ascii="Times New Roman" w:hAnsi="Times New Roman"/>
          <w:b/>
          <w:i w:val="0"/>
          <w:color w:val="1E293B"/>
          <w:sz w:val="24"/>
        </w:rPr>
        <w:t>4.3.2 Sequence Diagram</w:t>
      </w:r>
    </w:p>
    <w:p>
      <w:pPr>
        <w:spacing w:before="0" w:after="120" w:line="276" w:lineRule="auto"/>
        <w:jc w:val="left"/>
      </w:pPr>
      <w:r>
        <w:rPr>
          <w:rFonts w:ascii="Times New Roman" w:hAnsi="Times New Roman"/>
          <w:b w:val="0"/>
          <w:i w:val="0"/>
          <w:color w:val="000000"/>
          <w:sz w:val="24"/>
        </w:rPr>
        <w:t>The sequence model formalizes dynamic message passing between user interfaces, controllers, recommendation engines, and database services during the AI Search, Booking Request, and Job Application lifecycles.</w:t>
      </w:r>
    </w:p>
    <w:p>
      <w:pPr>
        <w:keepNext/>
        <w:spacing w:before="240" w:after="80"/>
        <w:jc w:val="center"/>
      </w:pPr>
      <w:r>
        <w:drawing>
          <wp:inline xmlns:a="http://schemas.openxmlformats.org/drawingml/2006/main" xmlns:pic="http://schemas.openxmlformats.org/drawingml/2006/picture">
            <wp:extent cx="5303520" cy="7087431"/>
            <wp:docPr id="6" name="Picture 6"/>
            <wp:cNvGraphicFramePr>
              <a:graphicFrameLocks noChangeAspect="1"/>
            </wp:cNvGraphicFramePr>
            <a:graphic>
              <a:graphicData uri="http://schemas.openxmlformats.org/drawingml/2006/picture">
                <pic:pic>
                  <pic:nvPicPr>
                    <pic:cNvPr id="0" name="Sequence.png"/>
                    <pic:cNvPicPr/>
                  </pic:nvPicPr>
                  <pic:blipFill>
                    <a:blip r:embed="rId16"/>
                    <a:stretch>
                      <a:fillRect/>
                    </a:stretch>
                  </pic:blipFill>
                  <pic:spPr>
                    <a:xfrm>
                      <a:off x="0" y="0"/>
                      <a:ext cx="5303520" cy="7087431"/>
                    </a:xfrm>
                    <a:prstGeom prst="rect"/>
                  </pic:spPr>
                </pic:pic>
              </a:graphicData>
            </a:graphic>
          </wp:inline>
        </w:drawing>
      </w:r>
    </w:p>
    <w:p>
      <w:pPr>
        <w:spacing w:before="40" w:after="240"/>
        <w:jc w:val="center"/>
      </w:pPr>
      <w:r>
        <w:rPr>
          <w:rFonts w:ascii="Times New Roman" w:hAnsi="Times New Roman"/>
          <w:b w:val="0"/>
          <w:i/>
          <w:color w:val="334155"/>
          <w:sz w:val="20"/>
        </w:rPr>
        <w:t>Figure 4.4: Sequence Diagram for AI Recommendation and Booking Lifecycle</w:t>
      </w:r>
    </w:p>
    <w:p>
      <w:pPr>
        <w:keepNext/>
        <w:spacing w:before="200" w:after="80"/>
      </w:pPr>
      <w:r>
        <w:rPr>
          <w:rFonts w:ascii="Times New Roman" w:hAnsi="Times New Roman"/>
          <w:b/>
          <w:i w:val="0"/>
          <w:color w:val="1E293B"/>
          <w:sz w:val="24"/>
        </w:rPr>
        <w:t>4.3.3 State Transition Model</w:t>
      </w:r>
    </w:p>
    <w:p>
      <w:pPr>
        <w:spacing w:before="0" w:after="120" w:line="276" w:lineRule="auto"/>
        <w:jc w:val="left"/>
      </w:pPr>
      <w:r>
        <w:rPr>
          <w:rFonts w:ascii="Times New Roman" w:hAnsi="Times New Roman"/>
          <w:b w:val="0"/>
          <w:i w:val="0"/>
          <w:color w:val="000000"/>
          <w:sz w:val="24"/>
        </w:rPr>
        <w:t>HomeEase coordinates several critical state machines:</w:t>
      </w:r>
    </w:p>
    <w:p>
      <w:pPr>
        <w:spacing w:before="0" w:after="120" w:line="276" w:lineRule="auto"/>
        <w:jc w:val="left"/>
      </w:pPr>
      <w:r>
        <w:rPr>
          <w:rFonts w:ascii="Times New Roman" w:hAnsi="Times New Roman"/>
          <w:b w:val="0"/>
          <w:i w:val="0"/>
          <w:color w:val="000000"/>
          <w:sz w:val="24"/>
        </w:rPr>
        <w:t>1. Booking Lifecycle State Machine: Draft -&gt; Pending -&gt; Accepted (or Rejected / Expired) -&gt; AgreementSigned -&gt; InProgress -&gt; Completed -&gt; PaymentLogged -&gt; Confirmed -&gt; Closed (with branch to Disputed).</w:t>
      </w:r>
    </w:p>
    <w:p>
      <w:pPr>
        <w:spacing w:before="0" w:after="120" w:line="276" w:lineRule="auto"/>
        <w:jc w:val="left"/>
      </w:pPr>
      <w:r>
        <w:rPr>
          <w:rFonts w:ascii="Times New Roman" w:hAnsi="Times New Roman"/>
          <w:b w:val="0"/>
          <w:i w:val="0"/>
          <w:color w:val="000000"/>
          <w:sz w:val="24"/>
        </w:rPr>
        <w:t>2. Job Post Lifecycle State Machine: Open -&gt; ApplicationsReceived -&gt; Assigned -&gt; Completed (or Cancelled).</w:t>
      </w:r>
    </w:p>
    <w:p>
      <w:pPr>
        <w:spacing w:before="0" w:after="120" w:line="276" w:lineRule="auto"/>
        <w:jc w:val="left"/>
      </w:pPr>
      <w:r>
        <w:rPr>
          <w:rFonts w:ascii="Times New Roman" w:hAnsi="Times New Roman"/>
          <w:b w:val="0"/>
          <w:i w:val="0"/>
          <w:color w:val="000000"/>
          <w:sz w:val="24"/>
        </w:rPr>
        <w:t>3. Worker Verification State Machine: Unverified -&gt; DocumentsSubmitted -&gt; InReview -&gt; Verified (or RejectedWithFeedback).</w:t>
      </w:r>
    </w:p>
    <w:p>
      <w:pPr>
        <w:keepNext/>
        <w:spacing w:before="240" w:after="80"/>
        <w:jc w:val="center"/>
      </w:pPr>
      <w:r>
        <w:drawing>
          <wp:inline xmlns:a="http://schemas.openxmlformats.org/drawingml/2006/main" xmlns:pic="http://schemas.openxmlformats.org/drawingml/2006/picture">
            <wp:extent cx="5303520" cy="8400387"/>
            <wp:docPr id="7" name="Picture 7"/>
            <wp:cNvGraphicFramePr>
              <a:graphicFrameLocks noChangeAspect="1"/>
            </wp:cNvGraphicFramePr>
            <a:graphic>
              <a:graphicData uri="http://schemas.openxmlformats.org/drawingml/2006/picture">
                <pic:pic>
                  <pic:nvPicPr>
                    <pic:cNvPr id="0" name="StateTransition.png"/>
                    <pic:cNvPicPr/>
                  </pic:nvPicPr>
                  <pic:blipFill>
                    <a:blip r:embed="rId17"/>
                    <a:stretch>
                      <a:fillRect/>
                    </a:stretch>
                  </pic:blipFill>
                  <pic:spPr>
                    <a:xfrm>
                      <a:off x="0" y="0"/>
                      <a:ext cx="5303520" cy="8400387"/>
                    </a:xfrm>
                    <a:prstGeom prst="rect"/>
                  </pic:spPr>
                </pic:pic>
              </a:graphicData>
            </a:graphic>
          </wp:inline>
        </w:drawing>
      </w:r>
    </w:p>
    <w:p>
      <w:pPr>
        <w:spacing w:before="40" w:after="240"/>
        <w:jc w:val="center"/>
      </w:pPr>
      <w:r>
        <w:rPr>
          <w:rFonts w:ascii="Times New Roman" w:hAnsi="Times New Roman"/>
          <w:b w:val="0"/>
          <w:i/>
          <w:color w:val="334155"/>
          <w:sz w:val="20"/>
        </w:rPr>
        <w:t>Figure 4.5: State Transition Diagram for Booking, Job Post, and Verification Lifecycles</w:t>
      </w:r>
    </w:p>
    <w:p>
      <w:pPr>
        <w:keepNext/>
        <w:spacing w:before="200" w:after="80"/>
      </w:pPr>
      <w:r>
        <w:rPr>
          <w:rFonts w:ascii="Times New Roman" w:hAnsi="Times New Roman"/>
          <w:b/>
          <w:i w:val="0"/>
          <w:color w:val="1E293B"/>
          <w:sz w:val="24"/>
        </w:rPr>
        <w:t>4.3.4 Entity-Relationship Diagram &amp; Data Dictionary</w:t>
      </w:r>
    </w:p>
    <w:p>
      <w:pPr>
        <w:spacing w:before="0" w:after="120" w:line="276" w:lineRule="auto"/>
        <w:jc w:val="left"/>
      </w:pPr>
      <w:r>
        <w:rPr>
          <w:rFonts w:ascii="Times New Roman" w:hAnsi="Times New Roman"/>
          <w:b w:val="0"/>
          <w:i w:val="0"/>
          <w:color w:val="000000"/>
          <w:sz w:val="24"/>
        </w:rPr>
        <w:t>The relational database schema is modeled in PostgreSQL and normalized to Third Normal Form (3NF). It comprises 16 relational tables:</w:t>
      </w:r>
    </w:p>
    <w:p>
      <w:pPr>
        <w:keepNext/>
        <w:spacing w:before="240" w:after="80"/>
        <w:jc w:val="center"/>
      </w:pPr>
      <w:r>
        <w:drawing>
          <wp:inline xmlns:a="http://schemas.openxmlformats.org/drawingml/2006/main" xmlns:pic="http://schemas.openxmlformats.org/drawingml/2006/picture">
            <wp:extent cx="5303520" cy="5145235"/>
            <wp:docPr id="8" name="Picture 8"/>
            <wp:cNvGraphicFramePr>
              <a:graphicFrameLocks noChangeAspect="1"/>
            </wp:cNvGraphicFramePr>
            <a:graphic>
              <a:graphicData uri="http://schemas.openxmlformats.org/drawingml/2006/picture">
                <pic:pic>
                  <pic:nvPicPr>
                    <pic:cNvPr id="0" name="ERD.png"/>
                    <pic:cNvPicPr/>
                  </pic:nvPicPr>
                  <pic:blipFill>
                    <a:blip r:embed="rId18"/>
                    <a:stretch>
                      <a:fillRect/>
                    </a:stretch>
                  </pic:blipFill>
                  <pic:spPr>
                    <a:xfrm>
                      <a:off x="0" y="0"/>
                      <a:ext cx="5303520" cy="5145235"/>
                    </a:xfrm>
                    <a:prstGeom prst="rect"/>
                  </pic:spPr>
                </pic:pic>
              </a:graphicData>
            </a:graphic>
          </wp:inline>
        </w:drawing>
      </w:r>
    </w:p>
    <w:p>
      <w:pPr>
        <w:spacing w:before="40" w:after="240"/>
        <w:jc w:val="center"/>
      </w:pPr>
      <w:r>
        <w:rPr>
          <w:rFonts w:ascii="Times New Roman" w:hAnsi="Times New Roman"/>
          <w:b w:val="0"/>
          <w:i/>
          <w:color w:val="334155"/>
          <w:sz w:val="20"/>
        </w:rPr>
        <w:t>Figure 4.6: Entity-Relationship Diagram (ERD) of HomeEase PostgreSQL Database</w:t>
      </w:r>
    </w:p>
    <w:p>
      <w:pPr>
        <w:spacing w:before="0" w:after="120" w:line="276" w:lineRule="auto"/>
        <w:jc w:val="left"/>
      </w:pPr>
      <w:r>
        <w:rPr>
          <w:rFonts w:ascii="Times New Roman" w:hAnsi="Times New Roman"/>
          <w:b w:val="0"/>
          <w:i w:val="0"/>
          <w:color w:val="000000"/>
          <w:sz w:val="24"/>
        </w:rPr>
        <w:t>Data Dictionary Table Overview:</w:t>
      </w:r>
    </w:p>
    <w:tbl>
      <w:tblPr>
        <w:tblW w:type="auto" w:w="0"/>
        <w:jc w:val="center"/>
        <w:tblLayout w:type="fixed"/>
        <w:tblLook w:firstColumn="1" w:firstRow="1" w:lastColumn="0" w:lastRow="0" w:noHBand="0" w:noVBand="1" w:val="04A0"/>
        <w:tblBorders>
          <w:top w:val="single" w:sz="6" w:space="0" w:color="0F766E"/>
          <w:bottom w:val="single" w:sz="6" w:space="0" w:color="0F766E"/>
          <w:left w:val="none"/>
          <w:right w:val="none"/>
          <w:insideH w:val="single" w:sz="4" w:space="0" w:color="E2E8F0"/>
          <w:insideV w:val="none"/>
        </w:tblBorders>
      </w:tblPr>
      <w:tblGrid>
        <w:gridCol w:w="2340"/>
        <w:gridCol w:w="2340"/>
        <w:gridCol w:w="2340"/>
        <w:gridCol w:w="2340"/>
      </w:tblGrid>
      <w:tr>
        <w:tc>
          <w:tcPr>
            <w:tcW w:type="dxa" w:w="2592"/>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Table Name</w:t>
            </w:r>
          </w:p>
        </w:tc>
        <w:tc>
          <w:tcPr>
            <w:tcW w:type="dxa" w:w="1728"/>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Primary Key</w:t>
            </w:r>
          </w:p>
        </w:tc>
        <w:tc>
          <w:tcPr>
            <w:tcW w:type="dxa" w:w="2592"/>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Foreign Keys</w:t>
            </w:r>
          </w:p>
        </w:tc>
        <w:tc>
          <w:tcPr>
            <w:tcW w:type="dxa" w:w="3168"/>
            <w:shd w:fill="0F766E"/>
            <w:tcMar>
              <w:top w:w="120" w:type="dxa"/>
              <w:bottom w:w="120" w:type="dxa"/>
              <w:left w:w="150" w:type="dxa"/>
              <w:right w:w="150" w:type="dxa"/>
            </w:tcMar>
          </w:tcPr>
          <w:p>
            <w:pPr>
              <w:spacing w:before="0" w:after="0"/>
              <w:jc w:val="left"/>
            </w:pPr>
            <w:r>
              <w:rPr>
                <w:rFonts w:ascii="Times New Roman" w:hAnsi="Times New Roman"/>
                <w:b/>
                <w:i w:val="0"/>
                <w:color w:val="FFFFFF"/>
                <w:sz w:val="21"/>
              </w:rPr>
              <w:t>Functional Purpose</w:t>
            </w:r>
          </w:p>
        </w:tc>
      </w:tr>
      <w:tr>
        <w:tc>
          <w:tcPr>
            <w:tcW w:type="dxa" w:w="259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USERS</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id (UUID)</w:t>
            </w:r>
          </w:p>
        </w:tc>
        <w:tc>
          <w:tcPr>
            <w:tcW w:type="dxa" w:w="259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None</w:t>
            </w:r>
          </w:p>
        </w:tc>
        <w:tc>
          <w:tcPr>
            <w:tcW w:type="dxa" w:w="316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Master account records, email, phone, role, password hash, account status.</w:t>
            </w:r>
          </w:p>
        </w:tc>
      </w:tr>
      <w:tr>
        <w:tc>
          <w:tcPr>
            <w:tcW w:type="dxa" w:w="259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HOUSEHOLD_PROFILES</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id (UUID)</w:t>
            </w:r>
          </w:p>
        </w:tc>
        <w:tc>
          <w:tcPr>
            <w:tcW w:type="dxa" w:w="259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user_id -&gt; USERS(id)</w:t>
            </w:r>
          </w:p>
        </w:tc>
        <w:tc>
          <w:tcPr>
            <w:tcW w:type="dxa" w:w="316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Household employer profile, Abbottabad address, locality, preferred language.</w:t>
            </w:r>
          </w:p>
        </w:tc>
      </w:tr>
      <w:tr>
        <w:tc>
          <w:tcPr>
            <w:tcW w:type="dxa" w:w="259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WORKER_PROFILES</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id (UUID)</w:t>
            </w:r>
          </w:p>
        </w:tc>
        <w:tc>
          <w:tcPr>
            <w:tcW w:type="dxa" w:w="259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user_id -&gt; USERS(id)</w:t>
            </w:r>
          </w:p>
        </w:tc>
        <w:tc>
          <w:tcPr>
            <w:tcW w:type="dxa" w:w="316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Worker profile, experience years, bio, latitude, longitude, verified flag, rating.</w:t>
            </w:r>
          </w:p>
        </w:tc>
      </w:tr>
      <w:tr>
        <w:tc>
          <w:tcPr>
            <w:tcW w:type="dxa" w:w="259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SERVICE_CATEGORIES</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id (UUID)</w:t>
            </w:r>
          </w:p>
        </w:tc>
        <w:tc>
          <w:tcPr>
            <w:tcW w:type="dxa" w:w="259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None</w:t>
            </w:r>
          </w:p>
        </w:tc>
        <w:tc>
          <w:tcPr>
            <w:tcW w:type="dxa" w:w="316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Service classifications (Cooking, Cleaning, Childcare, Elderly Care, Maid).</w:t>
            </w:r>
          </w:p>
        </w:tc>
      </w:tr>
      <w:tr>
        <w:tc>
          <w:tcPr>
            <w:tcW w:type="dxa" w:w="259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WORKER_SERVICES</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id (UUID)</w:t>
            </w:r>
          </w:p>
        </w:tc>
        <w:tc>
          <w:tcPr>
            <w:tcW w:type="dxa" w:w="259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worker_id, category_id</w:t>
            </w:r>
          </w:p>
        </w:tc>
        <w:tc>
          <w:tcPr>
            <w:tcW w:type="dxa" w:w="316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Associative table mapping worker specializations with hourly/visit rates.</w:t>
            </w:r>
          </w:p>
        </w:tc>
      </w:tr>
      <w:tr>
        <w:tc>
          <w:tcPr>
            <w:tcW w:type="dxa" w:w="259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AVAILABILITY_SLOTS</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id (UUID)</w:t>
            </w:r>
          </w:p>
        </w:tc>
        <w:tc>
          <w:tcPr>
            <w:tcW w:type="dxa" w:w="259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worker_id -&gt; WORKER_PROFILES(id)</w:t>
            </w:r>
          </w:p>
        </w:tc>
        <w:tc>
          <w:tcPr>
            <w:tcW w:type="dxa" w:w="316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Weekly day-of-week worker availability intervals and active toggles.</w:t>
            </w:r>
          </w:p>
        </w:tc>
      </w:tr>
      <w:tr>
        <w:tc>
          <w:tcPr>
            <w:tcW w:type="dxa" w:w="259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BOOKINGS</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id (UUID)</w:t>
            </w:r>
          </w:p>
        </w:tc>
        <w:tc>
          <w:tcPr>
            <w:tcW w:type="dxa" w:w="259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household_id, worker_id, category_id</w:t>
            </w:r>
          </w:p>
        </w:tc>
        <w:tc>
          <w:tcPr>
            <w:tcW w:type="dxa" w:w="316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Central transactional entity linking employer, worker, date, hours, and status.</w:t>
            </w:r>
          </w:p>
        </w:tc>
      </w:tr>
      <w:tr>
        <w:tc>
          <w:tcPr>
            <w:tcW w:type="dxa" w:w="259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SERVICE_AGREEMENTS</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id (UUID)</w:t>
            </w:r>
          </w:p>
        </w:tc>
        <w:tc>
          <w:tcPr>
            <w:tcW w:type="dxa" w:w="259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booking_id, household_id, worker_id</w:t>
            </w:r>
          </w:p>
        </w:tc>
        <w:tc>
          <w:tcPr>
            <w:tcW w:type="dxa" w:w="316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Auto-generated formal service contract text, agreed fee, and signing status.</w:t>
            </w:r>
          </w:p>
        </w:tc>
      </w:tr>
      <w:tr>
        <w:tc>
          <w:tcPr>
            <w:tcW w:type="dxa" w:w="259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JOB_POSTS</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id (UUID)</w:t>
            </w:r>
          </w:p>
        </w:tc>
        <w:tc>
          <w:tcPr>
            <w:tcW w:type="dxa" w:w="259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household_id, category_id</w:t>
            </w:r>
          </w:p>
        </w:tc>
        <w:tc>
          <w:tcPr>
            <w:tcW w:type="dxa" w:w="316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Bidirectional marketplace open gig listings with budget, locality, and date.</w:t>
            </w:r>
          </w:p>
        </w:tc>
      </w:tr>
      <w:tr>
        <w:tc>
          <w:tcPr>
            <w:tcW w:type="dxa" w:w="259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JOB_APPLICATIONS</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id (UUID)</w:t>
            </w:r>
          </w:p>
        </w:tc>
        <w:tc>
          <w:tcPr>
            <w:tcW w:type="dxa" w:w="259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job_post_id, worker_id</w:t>
            </w:r>
          </w:p>
        </w:tc>
        <w:tc>
          <w:tcPr>
            <w:tcW w:type="dxa" w:w="316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Worker applications submitted against open gigs with proposed rates.</w:t>
            </w:r>
          </w:p>
        </w:tc>
      </w:tr>
      <w:tr>
        <w:tc>
          <w:tcPr>
            <w:tcW w:type="dxa" w:w="259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PAYMENT_RECORDS</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id (UUID)</w:t>
            </w:r>
          </w:p>
        </w:tc>
        <w:tc>
          <w:tcPr>
            <w:tcW w:type="dxa" w:w="259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booking_id, household_id, worker_id</w:t>
            </w:r>
          </w:p>
        </w:tc>
        <w:tc>
          <w:tcPr>
            <w:tcW w:type="dxa" w:w="316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Manual payment audit records (Cash/JazzCash/EasyPaisa), receipt URLs, confirmation.</w:t>
            </w:r>
          </w:p>
        </w:tc>
      </w:tr>
      <w:tr>
        <w:tc>
          <w:tcPr>
            <w:tcW w:type="dxa" w:w="259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REVIEWS</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id (UUID)</w:t>
            </w:r>
          </w:p>
        </w:tc>
        <w:tc>
          <w:tcPr>
            <w:tcW w:type="dxa" w:w="259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booking_id, household_id, worker_id</w:t>
            </w:r>
          </w:p>
        </w:tc>
        <w:tc>
          <w:tcPr>
            <w:tcW w:type="dxa" w:w="316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Multi-factor ratings (punctuality, behavior, quality) and written comments.</w:t>
            </w:r>
          </w:p>
        </w:tc>
      </w:tr>
      <w:tr>
        <w:tc>
          <w:tcPr>
            <w:tcW w:type="dxa" w:w="259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VERIFICATION_REQUESTS</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id (UUID)</w:t>
            </w:r>
          </w:p>
        </w:tc>
        <w:tc>
          <w:tcPr>
            <w:tcW w:type="dxa" w:w="259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worker_id, admin_id</w:t>
            </w:r>
          </w:p>
        </w:tc>
        <w:tc>
          <w:tcPr>
            <w:tcW w:type="dxa" w:w="316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KYC audit submissions containing CNIC front/back URLs and review remarks.</w:t>
            </w:r>
          </w:p>
        </w:tc>
      </w:tr>
      <w:tr>
        <w:tc>
          <w:tcPr>
            <w:tcW w:type="dxa" w:w="259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DISPUTES</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id (UUID)</w:t>
            </w:r>
          </w:p>
        </w:tc>
        <w:tc>
          <w:tcPr>
            <w:tcW w:type="dxa" w:w="259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booking_id, raised_by, admin_id</w:t>
            </w:r>
          </w:p>
        </w:tc>
        <w:tc>
          <w:tcPr>
            <w:tcW w:type="dxa" w:w="316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Transaction grievances, evidence URLs, mediation status, and admin resolution.</w:t>
            </w:r>
          </w:p>
        </w:tc>
      </w:tr>
      <w:tr>
        <w:tc>
          <w:tcPr>
            <w:tcW w:type="dxa" w:w="259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NOTIFICATIONS</w:t>
            </w:r>
          </w:p>
        </w:tc>
        <w:tc>
          <w:tcPr>
            <w:tcW w:type="dxa" w:w="172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id (UUID)</w:t>
            </w:r>
          </w:p>
        </w:tc>
        <w:tc>
          <w:tcPr>
            <w:tcW w:type="dxa" w:w="2592"/>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user_id -&gt; USERS(id)</w:t>
            </w:r>
          </w:p>
        </w:tc>
        <w:tc>
          <w:tcPr>
            <w:tcW w:type="dxa" w:w="3168"/>
            <w:shd w:fill="F8FAFC"/>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In-app and push notification alerts for booking status and gig updates.</w:t>
            </w:r>
          </w:p>
        </w:tc>
      </w:tr>
      <w:tr>
        <w:tc>
          <w:tcPr>
            <w:tcW w:type="dxa" w:w="259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ISSUE_REPORTS</w:t>
            </w:r>
          </w:p>
        </w:tc>
        <w:tc>
          <w:tcPr>
            <w:tcW w:type="dxa" w:w="172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id (UUID)</w:t>
            </w:r>
          </w:p>
        </w:tc>
        <w:tc>
          <w:tcPr>
            <w:tcW w:type="dxa" w:w="2592"/>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reporter_id, booking_id</w:t>
            </w:r>
          </w:p>
        </w:tc>
        <w:tc>
          <w:tcPr>
            <w:tcW w:type="dxa" w:w="3168"/>
            <w:shd w:fill="FFFFFF"/>
            <w:tcMar>
              <w:top w:w="90" w:type="dxa"/>
              <w:bottom w:w="90" w:type="dxa"/>
              <w:left w:w="140" w:type="dxa"/>
              <w:right w:w="140" w:type="dxa"/>
            </w:tcMar>
          </w:tcPr>
          <w:p>
            <w:pPr>
              <w:spacing w:before="0" w:after="0" w:line="276" w:lineRule="auto"/>
            </w:pPr>
            <w:r>
              <w:rPr>
                <w:rFonts w:ascii="Times New Roman" w:hAnsi="Times New Roman"/>
                <w:b w:val="0"/>
                <w:i w:val="0"/>
                <w:color w:val="0F172A"/>
                <w:sz w:val="20"/>
              </w:rPr>
              <w:t>General platform feedback, technical bug reports, and safety alerts.</w:t>
            </w:r>
          </w:p>
        </w:tc>
      </w:tr>
    </w:tbl>
    <w:p>
      <w:r>
        <w:br w:type="page"/>
      </w:r>
    </w:p>
    <w:p>
      <w:pPr>
        <w:keepNext/>
        <w:spacing w:before="400" w:after="160"/>
      </w:pPr>
      <w:r>
        <w:rPr>
          <w:rFonts w:ascii="Times New Roman" w:hAnsi="Times New Roman"/>
          <w:b/>
          <w:i w:val="0"/>
          <w:color w:val="0F766E"/>
          <w:sz w:val="36"/>
        </w:rPr>
        <w:t>References</w:t>
      </w:r>
    </w:p>
    <w:p>
      <w:pPr>
        <w:spacing w:before="40" w:after="120" w:line="276" w:lineRule="auto"/>
        <w:ind w:left="576" w:hanging="576"/>
        <w:jc w:val="left"/>
      </w:pPr>
      <w:r>
        <w:rPr>
          <w:rFonts w:ascii="Times New Roman" w:hAnsi="Times New Roman"/>
          <w:b w:val="0"/>
          <w:i w:val="0"/>
          <w:color w:val="000000"/>
          <w:sz w:val="21"/>
        </w:rPr>
        <w:t>[1] Sommerville, I. (2016). Software Engineering (10th ed.). Pearson Education.</w:t>
      </w:r>
    </w:p>
    <w:p>
      <w:pPr>
        <w:spacing w:before="40" w:after="120" w:line="276" w:lineRule="auto"/>
        <w:ind w:left="576" w:hanging="576"/>
        <w:jc w:val="left"/>
      </w:pPr>
      <w:r>
        <w:rPr>
          <w:rFonts w:ascii="Times New Roman" w:hAnsi="Times New Roman"/>
          <w:b w:val="0"/>
          <w:i w:val="0"/>
          <w:color w:val="000000"/>
          <w:sz w:val="21"/>
        </w:rPr>
        <w:t>[2] Pressman, R. S., &amp; Maxim, B. R. (2020). Software Engineering: A Practitioner's Approach (9th ed.). McGraw-Hill Education.</w:t>
      </w:r>
    </w:p>
    <w:p>
      <w:pPr>
        <w:spacing w:before="40" w:after="120" w:line="276" w:lineRule="auto"/>
        <w:ind w:left="576" w:hanging="576"/>
        <w:jc w:val="left"/>
      </w:pPr>
      <w:r>
        <w:rPr>
          <w:rFonts w:ascii="Times New Roman" w:hAnsi="Times New Roman"/>
          <w:b w:val="0"/>
          <w:i w:val="0"/>
          <w:color w:val="000000"/>
          <w:sz w:val="21"/>
        </w:rPr>
        <w:t>[3] Ricci, F., Rokach, L., &amp; Shapira, B. (2022). Recommender Systems Handbook (3rd ed.). Springer US.</w:t>
      </w:r>
    </w:p>
    <w:p>
      <w:pPr>
        <w:spacing w:before="40" w:after="120" w:line="276" w:lineRule="auto"/>
        <w:ind w:left="576" w:hanging="576"/>
        <w:jc w:val="left"/>
      </w:pPr>
      <w:r>
        <w:rPr>
          <w:rFonts w:ascii="Times New Roman" w:hAnsi="Times New Roman"/>
          <w:b w:val="0"/>
          <w:i w:val="0"/>
          <w:color w:val="000000"/>
          <w:sz w:val="21"/>
        </w:rPr>
        <w:t>[4] Sinnott, R. W. (1984). Virtues of the Haversine. Sky and Telescope, 68(2), 159.</w:t>
      </w:r>
    </w:p>
    <w:p>
      <w:pPr>
        <w:spacing w:before="40" w:after="120" w:line="276" w:lineRule="auto"/>
        <w:ind w:left="576" w:hanging="576"/>
        <w:jc w:val="left"/>
      </w:pPr>
      <w:r>
        <w:rPr>
          <w:rFonts w:ascii="Times New Roman" w:hAnsi="Times New Roman"/>
          <w:b w:val="0"/>
          <w:i w:val="0"/>
          <w:color w:val="000000"/>
          <w:sz w:val="21"/>
        </w:rPr>
        <w:t>[5] Nielsen, J. (1994). Usability Engineering. Morgan Kaufmann Publishers.</w:t>
      </w:r>
    </w:p>
    <w:p>
      <w:pPr>
        <w:spacing w:before="40" w:after="120" w:line="276" w:lineRule="auto"/>
        <w:ind w:left="576" w:hanging="576"/>
        <w:jc w:val="left"/>
      </w:pPr>
      <w:r>
        <w:rPr>
          <w:rFonts w:ascii="Times New Roman" w:hAnsi="Times New Roman"/>
          <w:b w:val="0"/>
          <w:i w:val="0"/>
          <w:color w:val="000000"/>
          <w:sz w:val="21"/>
        </w:rPr>
        <w:t>[6] Medhi, I., Sagar, A., &amp; Toyama, K. (2007). Text-Free User Interfaces for Illiterate and Semi-Literate Users. Information Technologies and International Development, 4(1), 37-50.</w:t>
      </w:r>
    </w:p>
    <w:p>
      <w:pPr>
        <w:spacing w:before="40" w:after="120" w:line="276" w:lineRule="auto"/>
        <w:ind w:left="576" w:hanging="576"/>
        <w:jc w:val="left"/>
      </w:pPr>
      <w:r>
        <w:rPr>
          <w:rFonts w:ascii="Times New Roman" w:hAnsi="Times New Roman"/>
          <w:b w:val="0"/>
          <w:i w:val="0"/>
          <w:color w:val="000000"/>
          <w:sz w:val="21"/>
        </w:rPr>
        <w:t>[7] Google. (2024). Flutter Documentation: Architectural Overview and Reactive State. https://docs.flutter.dev/</w:t>
      </w:r>
    </w:p>
    <w:p>
      <w:pPr>
        <w:spacing w:before="40" w:after="120" w:line="276" w:lineRule="auto"/>
        <w:ind w:left="576" w:hanging="576"/>
        <w:jc w:val="left"/>
      </w:pPr>
      <w:r>
        <w:rPr>
          <w:rFonts w:ascii="Times New Roman" w:hAnsi="Times New Roman"/>
          <w:b w:val="0"/>
          <w:i w:val="0"/>
          <w:color w:val="000000"/>
          <w:sz w:val="21"/>
        </w:rPr>
        <w:t>[8] Supabase Inc. (2024). Supabase PostgreSQL &amp; Row Level Security Architecture Guide. https://supabase.com/docs/</w:t>
      </w:r>
    </w:p>
    <w:p>
      <w:pPr>
        <w:spacing w:before="40" w:after="120" w:line="276" w:lineRule="auto"/>
        <w:ind w:left="576" w:hanging="576"/>
        <w:jc w:val="left"/>
      </w:pPr>
      <w:r>
        <w:rPr>
          <w:rFonts w:ascii="Times New Roman" w:hAnsi="Times New Roman"/>
          <w:b w:val="0"/>
          <w:i w:val="0"/>
          <w:color w:val="000000"/>
          <w:sz w:val="21"/>
        </w:rPr>
        <w:t>[9] International Labour Organization (ILO). (2021). Making Decent Work a Reality for Domestic Workers: Progress and Prospects Ten Years After the Adoption of the Domestic Workers Convention, 2011 (No. 189). Geneva: ILO.</w:t>
      </w:r>
    </w:p>
    <w:p>
      <w:pPr>
        <w:spacing w:before="40" w:after="120" w:line="276" w:lineRule="auto"/>
        <w:ind w:left="576" w:hanging="576"/>
        <w:jc w:val="left"/>
      </w:pPr>
      <w:r>
        <w:rPr>
          <w:rFonts w:ascii="Times New Roman" w:hAnsi="Times New Roman"/>
          <w:b w:val="0"/>
          <w:i w:val="0"/>
          <w:color w:val="000000"/>
          <w:sz w:val="21"/>
        </w:rPr>
        <w:t>[10] Pakistan Bureau of Statistics (PBS). (2022). Labour Force Survey 2020-21 (Annual Report). Government of Pakistan.</w:t>
      </w:r>
    </w:p>
    <w:p>
      <w:pPr>
        <w:spacing w:before="40" w:after="120" w:line="276" w:lineRule="auto"/>
        <w:ind w:left="576" w:hanging="576"/>
        <w:jc w:val="left"/>
      </w:pPr>
      <w:r>
        <w:rPr>
          <w:rFonts w:ascii="Times New Roman" w:hAnsi="Times New Roman"/>
          <w:b w:val="0"/>
          <w:i w:val="0"/>
          <w:color w:val="000000"/>
          <w:sz w:val="21"/>
        </w:rPr>
        <w:t>[11] Salton, G., &amp; McGill, M. J. (1983). Introduction to Modern Information Retrieval. McGraw-Hill.</w:t>
      </w:r>
    </w:p>
    <w:p>
      <w:pPr>
        <w:spacing w:before="40" w:after="120" w:line="276" w:lineRule="auto"/>
        <w:ind w:left="576" w:hanging="576"/>
        <w:jc w:val="left"/>
      </w:pPr>
      <w:r>
        <w:rPr>
          <w:rFonts w:ascii="Times New Roman" w:hAnsi="Times New Roman"/>
          <w:b w:val="0"/>
          <w:i w:val="0"/>
          <w:color w:val="000000"/>
          <w:sz w:val="21"/>
        </w:rPr>
        <w:t>[12] Pazzani, M. J., &amp; Billsus, D. (2007). Content-Based Recommendation Systems. In The Adaptive Web (pp. 325-341). Springer Berlin Heidelberg.</w:t>
      </w:r>
    </w:p>
    <w:p>
      <w:pPr>
        <w:spacing w:before="40" w:after="120" w:line="276" w:lineRule="auto"/>
        <w:ind w:left="576" w:hanging="576"/>
        <w:jc w:val="left"/>
      </w:pPr>
      <w:r>
        <w:rPr>
          <w:rFonts w:ascii="Times New Roman" w:hAnsi="Times New Roman"/>
          <w:b w:val="0"/>
          <w:i w:val="0"/>
          <w:color w:val="000000"/>
          <w:sz w:val="21"/>
        </w:rPr>
        <w:t>[13] Lundberg, S. M., &amp; Lee, S. I. (2017). A Unified Approach to Interpreting Model Predictions. Advances in Neural Information Processing Systems (NeurIPS 2017), 30.</w:t>
      </w:r>
    </w:p>
    <w:p>
      <w:pPr>
        <w:spacing w:before="40" w:after="120" w:line="276" w:lineRule="auto"/>
        <w:ind w:left="576" w:hanging="576"/>
        <w:jc w:val="left"/>
      </w:pPr>
      <w:r>
        <w:rPr>
          <w:rFonts w:ascii="Times New Roman" w:hAnsi="Times New Roman"/>
          <w:b w:val="0"/>
          <w:i w:val="0"/>
          <w:color w:val="000000"/>
          <w:sz w:val="21"/>
        </w:rPr>
        <w:t>[14] Fielding, R. T. (2000). Architectural Styles and the Design of Network-based Software Architectures. Doctoral dissertation, University of California, Irvine.</w:t>
      </w:r>
    </w:p>
    <w:p>
      <w:pPr>
        <w:spacing w:before="40" w:after="120" w:line="276" w:lineRule="auto"/>
        <w:ind w:left="576" w:hanging="576"/>
        <w:jc w:val="left"/>
      </w:pPr>
      <w:r>
        <w:rPr>
          <w:rFonts w:ascii="Times New Roman" w:hAnsi="Times New Roman"/>
          <w:b w:val="0"/>
          <w:i w:val="0"/>
          <w:color w:val="000000"/>
          <w:sz w:val="21"/>
        </w:rPr>
        <w:t>[15] ISO/IEC/IEEE. (2017). Systems and software engineering — Architecture description. ISO/IEC/IEEE 42010:2011 standard.</w:t>
      </w:r>
    </w:p>
    <w:p>
      <w:pPr>
        <w:spacing w:before="40" w:after="120" w:line="276" w:lineRule="auto"/>
        <w:ind w:left="576" w:hanging="576"/>
        <w:jc w:val="left"/>
      </w:pPr>
      <w:r>
        <w:rPr>
          <w:rFonts w:ascii="Times New Roman" w:hAnsi="Times New Roman"/>
          <w:b w:val="0"/>
          <w:i w:val="0"/>
          <w:color w:val="000000"/>
          <w:sz w:val="21"/>
        </w:rPr>
        <w:t>[16] World Bank. (2023). Pakistan Digital Economy Assessment: Unleashing Inclusive Growth. Washington, DC: World Bank.</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i/>
        <w:color w:val="64748B"/>
        <w:sz w:val="18"/>
      </w:rPr>
      <w:t>Department of Computer Science, CUI, Abbottabad Campus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94A3B8"/>
        <w:sz w:val="17"/>
      </w:rPr>
      <w:t>HomeEase — 60% Thesis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