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D8BC0" w14:textId="4B246BC2" w:rsidR="00FC0CE4" w:rsidRDefault="00FC0CE4">
      <w:pPr>
        <w:spacing w:before="1440" w:after="240"/>
        <w:jc w:val="center"/>
        <w:rPr>
          <w:b/>
          <w:bCs/>
          <w:color w:val="1F4E78"/>
          <w:sz w:val="48"/>
          <w:szCs w:val="48"/>
        </w:rPr>
      </w:pPr>
      <w:r>
        <w:rPr>
          <w:b/>
          <w:bCs/>
          <w:color w:val="1F4E78"/>
          <w:sz w:val="48"/>
          <w:szCs w:val="48"/>
        </w:rPr>
        <w:t>Group Members</w:t>
      </w:r>
      <w:r>
        <w:rPr>
          <w:b/>
          <w:bCs/>
          <w:color w:val="1F4E78"/>
          <w:sz w:val="48"/>
          <w:szCs w:val="48"/>
        </w:rPr>
        <w:br/>
      </w:r>
      <w:r>
        <w:rPr>
          <w:b/>
          <w:bCs/>
          <w:color w:val="1F4E78"/>
          <w:sz w:val="48"/>
          <w:szCs w:val="48"/>
        </w:rPr>
        <w:br/>
      </w:r>
      <w:r w:rsidRPr="00FC0CE4">
        <w:rPr>
          <w:b/>
          <w:bCs/>
          <w:color w:val="1F4E78"/>
          <w:sz w:val="28"/>
          <w:szCs w:val="28"/>
        </w:rPr>
        <w:t>Muhammad Ahmad</w:t>
      </w:r>
      <w:r>
        <w:rPr>
          <w:b/>
          <w:bCs/>
          <w:color w:val="1F4E78"/>
          <w:sz w:val="28"/>
          <w:szCs w:val="28"/>
        </w:rPr>
        <w:t xml:space="preserve"> - MSDSF25A009</w:t>
      </w:r>
      <w:r>
        <w:rPr>
          <w:b/>
          <w:bCs/>
          <w:color w:val="1F4E78"/>
          <w:sz w:val="28"/>
          <w:szCs w:val="28"/>
        </w:rPr>
        <w:br/>
        <w:t>Kashif Ali - MSDSF25M024</w:t>
      </w:r>
      <w:r>
        <w:rPr>
          <w:b/>
          <w:bCs/>
          <w:color w:val="1F4E78"/>
          <w:sz w:val="28"/>
          <w:szCs w:val="28"/>
        </w:rPr>
        <w:br/>
        <w:t>Muhammad Abu Bakar Illyas – MSDSF25A009</w:t>
      </w:r>
    </w:p>
    <w:p w14:paraId="487F3D8E" w14:textId="13FD644D" w:rsidR="0070566B" w:rsidRDefault="00000000">
      <w:pPr>
        <w:spacing w:before="1440" w:after="240"/>
        <w:jc w:val="center"/>
      </w:pPr>
      <w:r>
        <w:rPr>
          <w:b/>
          <w:bCs/>
          <w:color w:val="1F4E78"/>
          <w:sz w:val="48"/>
          <w:szCs w:val="48"/>
        </w:rPr>
        <w:t>CONTRACT INTELLIGENCE</w:t>
      </w:r>
    </w:p>
    <w:p w14:paraId="54695703" w14:textId="77777777" w:rsidR="0070566B" w:rsidRDefault="00000000">
      <w:pPr>
        <w:spacing w:after="480"/>
        <w:jc w:val="center"/>
      </w:pPr>
      <w:r>
        <w:rPr>
          <w:b/>
          <w:bCs/>
          <w:color w:val="2E5C8A"/>
          <w:sz w:val="36"/>
          <w:szCs w:val="36"/>
        </w:rPr>
        <w:t>FOR SMALL &amp; MEDIUM BUSINESSES</w:t>
      </w:r>
    </w:p>
    <w:p w14:paraId="683BF38A" w14:textId="77777777" w:rsidR="0070566B" w:rsidRDefault="00000000">
      <w:pPr>
        <w:spacing w:after="960"/>
        <w:jc w:val="center"/>
      </w:pPr>
      <w:r>
        <w:rPr>
          <w:i/>
          <w:iCs/>
          <w:color w:val="5B9BD5"/>
          <w:sz w:val="24"/>
          <w:szCs w:val="24"/>
        </w:rPr>
        <w:t>AI-Powered Contract Analysis &amp; Management Platform</w:t>
      </w:r>
    </w:p>
    <w:p w14:paraId="5EFAF316" w14:textId="77777777" w:rsidR="0070566B" w:rsidRDefault="00000000">
      <w:pPr>
        <w:pStyle w:val="Heading1"/>
      </w:pPr>
      <w:r>
        <w:t>Executive Summary</w:t>
      </w:r>
    </w:p>
    <w:p w14:paraId="5C4C79CB" w14:textId="77777777" w:rsidR="0070566B" w:rsidRDefault="00000000">
      <w:pPr>
        <w:spacing w:after="360" w:line="360" w:lineRule="auto"/>
        <w:jc w:val="both"/>
      </w:pPr>
      <w:r>
        <w:t>An AI-powered platform that analyzes business contracts for small and mid-sized companies, automatically flagging risky clauses, tracking renewal dates, and benchmarking terms against market standards. The system replaces expensive legal reviews by providing instant risk assessments, suggesting better clause alternatives, and preventing costly auto-renewals. Target customers are B2B SMBs (50-500 employees) managing 20-100+ vendor, customer, and partnership contracts annually who cannot afford $30K-100K enterprise contract management solutions. The subscription model ($299-899/month) offers 85-90% gross margins with clear ROI—typical customers save $25K+ annually through identified savings and avoided contract risks. Starting with SaaS vendor contracts as a niche entry point, the platform expands to employment agreements, NDAs, and customer contracts, creating a sticky, high-value product that becomes mission-critical to business operations.</w:t>
      </w:r>
    </w:p>
    <w:p w14:paraId="7CE942AD" w14:textId="77777777" w:rsidR="0070566B" w:rsidRDefault="00000000">
      <w:pPr>
        <w:pStyle w:val="Heading2"/>
      </w:pPr>
      <w:r>
        <w:lastRenderedPageBreak/>
        <w:t>The Problem</w:t>
      </w:r>
    </w:p>
    <w:p w14:paraId="1BAFD033" w14:textId="77777777" w:rsidR="0070566B" w:rsidRDefault="00000000">
      <w:pPr>
        <w:spacing w:after="360" w:line="360" w:lineRule="auto"/>
        <w:jc w:val="both"/>
      </w:pPr>
      <w:r>
        <w:t>Small and medium businesses face critical challenges in contract management. Legal reviews cost $300-500 per hour, making professional contract analysis prohibitively expensive for routine agreements. Hidden risks such as auto-renewal clauses, unfavorable liability caps, and excessive termination penalties go unnoticed until costly disputes arise. Companies typically overpay $50K-200K annually due to missed renewal negotiations and suboptimal contract terms. As businesses scale from 10 to 100+ employees, contract volume becomes overwhelming with executives spending hours searching through emails and file systems for basic contract information. Existing solutions either target enterprises with $30K-100K annual fees or offer simplistic spreadsheet tracking without intelligence.</w:t>
      </w:r>
    </w:p>
    <w:p w14:paraId="42D2F6FD" w14:textId="77777777" w:rsidR="0070566B" w:rsidRDefault="00000000">
      <w:pPr>
        <w:pStyle w:val="Heading2"/>
      </w:pPr>
      <w:r>
        <w:t>The Solution</w:t>
      </w:r>
    </w:p>
    <w:p w14:paraId="325A262C" w14:textId="77777777" w:rsidR="0070566B" w:rsidRDefault="00000000">
      <w:pPr>
        <w:spacing w:after="360" w:line="360" w:lineRule="auto"/>
        <w:jc w:val="both"/>
      </w:pPr>
      <w:r>
        <w:t>Our platform provides enterprise-grade contract intelligence at SMB-friendly pricing. Users upload contracts via email, web interface, or API integration, receiving comprehensive analysis within 60 seconds. The AI extracts key terms including pricing, renewal dates, termination clauses, and liability provisions, presenting everything in a plain-English dashboard. Risk scoring highlights problematic clauses with red-yellow-green indicators and specific recommendations for improvement. Market benchmarking compares contract terms against thousands of similar agreements, showing where clients are getting favorable or unfavorable deals. Automated renewal alerts prevent costly auto-renewals by notifying teams 90, 60, and 30 days before critical dates. The system learns from each contract, continuously improving accuracy and expanding its clause library with better alternatives.</w:t>
      </w:r>
    </w:p>
    <w:p w14:paraId="47772CCB" w14:textId="77777777" w:rsidR="0070566B" w:rsidRDefault="00000000">
      <w:r>
        <w:br w:type="page"/>
      </w:r>
    </w:p>
    <w:p w14:paraId="41FE342C" w14:textId="77777777" w:rsidR="0070566B" w:rsidRDefault="00000000">
      <w:pPr>
        <w:pStyle w:val="Heading1"/>
        <w:spacing w:before="0"/>
      </w:pPr>
      <w:r>
        <w:lastRenderedPageBreak/>
        <w:t>Technical Perspective</w:t>
      </w:r>
    </w:p>
    <w:p w14:paraId="50246050" w14:textId="77777777" w:rsidR="0070566B" w:rsidRDefault="00000000">
      <w:pPr>
        <w:pStyle w:val="Heading2"/>
      </w:pPr>
      <w:r>
        <w:t>System Architecture</w:t>
      </w:r>
    </w:p>
    <w:p w14:paraId="1E8FBF39" w14:textId="77777777" w:rsidR="0070566B" w:rsidRDefault="00000000">
      <w:pPr>
        <w:spacing w:after="240" w:line="360" w:lineRule="auto"/>
        <w:jc w:val="both"/>
      </w:pPr>
      <w:r>
        <w:t>The platform employs a sophisticated multi-layer architecture designed for accuracy, scalability, and security. The document ingestion layer accepts PDFs, Word documents, and scanned images, utilizing OCR technology (Tesseract and Azure Form Recognizer) to extract text from various formats. Advanced layout analysis algorithms understand document structure, identifying sections, headers, and clause hierarchies regardless of formatting variations. The NLP processing engine combines fine-tuned large language models with specialized legal entity recognition models to extract critical contract elements with 95%+ accuracy.</w:t>
      </w:r>
    </w:p>
    <w:p w14:paraId="0BA79F3D" w14:textId="77777777" w:rsidR="0070566B" w:rsidRDefault="00000000">
      <w:pPr>
        <w:spacing w:after="120"/>
      </w:pPr>
      <w:r>
        <w:rPr>
          <w:b/>
          <w:bCs/>
        </w:rPr>
        <w:t>Core ML Pipeline:</w:t>
      </w:r>
    </w:p>
    <w:p w14:paraId="38949D1C" w14:textId="77777777" w:rsidR="0070566B" w:rsidRDefault="00000000">
      <w:pPr>
        <w:spacing w:after="360" w:line="360" w:lineRule="auto"/>
      </w:pPr>
      <w:r>
        <w:t>• Document Pre-processing: Normalization, cleaning, and segmentation into analyzable units • Feature Extraction: Named entity recognition for parties, dates, monetary amounts, and obligations • Clause Classification: Deep learning models categorize contract sections (liability, payment, IP, termination) • Risk Assessment: Hybrid approach combining rule-based detection for known patterns and ML models trained on 5,000+ lawyer-annotated contracts • Benchmarking Engine: Semantic comparison against anonymized database of 50,000+ analyzed contracts • Recommendation System: Context-aware suggestion engine with 500+ pre-approved clause alternatives</w:t>
      </w:r>
    </w:p>
    <w:p w14:paraId="385C0C9F" w14:textId="77777777" w:rsidR="0070566B" w:rsidRDefault="00000000">
      <w:pPr>
        <w:pStyle w:val="Heading2"/>
      </w:pPr>
      <w:r>
        <w:t>Technology Stack</w:t>
      </w:r>
    </w:p>
    <w:p w14:paraId="3E5CF43F" w14:textId="77777777" w:rsidR="0070566B" w:rsidRDefault="00000000">
      <w:pPr>
        <w:spacing w:after="240" w:line="360" w:lineRule="auto"/>
        <w:jc w:val="both"/>
      </w:pPr>
      <w:r>
        <w:t xml:space="preserve">Backend Infrastructure: Python 3.11 with </w:t>
      </w:r>
      <w:proofErr w:type="spellStart"/>
      <w:r>
        <w:t>FastAPI</w:t>
      </w:r>
      <w:proofErr w:type="spellEnd"/>
      <w:r>
        <w:t xml:space="preserve"> framework for high-performance REST APIs, PostgreSQL 15 for relational data, MongoDB for document storage, Redis for caching and session management. The ML stack integrates </w:t>
      </w:r>
      <w:proofErr w:type="spellStart"/>
      <w:r>
        <w:t>HuggingFace</w:t>
      </w:r>
      <w:proofErr w:type="spellEnd"/>
      <w:r>
        <w:t xml:space="preserve"> Transformers for custom model training, OpenAI GPT-4 and Anthropic Claude APIs for advanced language understanding, </w:t>
      </w:r>
      <w:proofErr w:type="spellStart"/>
      <w:r>
        <w:t>spaCy</w:t>
      </w:r>
      <w:proofErr w:type="spellEnd"/>
      <w:r>
        <w:t xml:space="preserve"> for linguistic analysis, and scikit-learn for traditional ML tasks. Vector databases (Pinecone) enable semantic search across millions of contract clauses.</w:t>
      </w:r>
    </w:p>
    <w:p w14:paraId="0F12EF7A" w14:textId="77777777" w:rsidR="0070566B" w:rsidRDefault="00000000">
      <w:pPr>
        <w:spacing w:after="360" w:line="360" w:lineRule="auto"/>
        <w:jc w:val="both"/>
      </w:pPr>
      <w:r>
        <w:t>Frontend &amp; Infrastructure: React 18 with TypeScript for type-safe development, Tailwind CSS for responsive design, and Redux for state management. Cloud infrastructure runs on AWS with Docker containerization and Kubernetes orchestration enabling horizontal scaling. AWS S3 stores documents, CloudFront CDN accelerates global access, and Lambda functions handle asynchronous processing. CI/CD pipelines using GitHub Actions automate testing and deployment with 99.9% uptime SLA.</w:t>
      </w:r>
    </w:p>
    <w:p w14:paraId="6479E5F2" w14:textId="77777777" w:rsidR="0070566B" w:rsidRDefault="00000000">
      <w:pPr>
        <w:pStyle w:val="Heading2"/>
      </w:pPr>
      <w:r>
        <w:lastRenderedPageBreak/>
        <w:t>Security &amp; Compliance</w:t>
      </w:r>
    </w:p>
    <w:p w14:paraId="337771D2" w14:textId="77777777" w:rsidR="0070566B" w:rsidRDefault="00000000">
      <w:pPr>
        <w:spacing w:after="360" w:line="360" w:lineRule="auto"/>
        <w:jc w:val="both"/>
      </w:pPr>
      <w:r>
        <w:t>Enterprise-grade security protocols protect sensitive contract data. All data transmissions use TLS 1.3 encryption while data at rest employs AES-256 encryption. SOC 2 Type II compliance ensures rigorous security controls validated through annual third-party audits. GDPR and CCPA compliance frameworks include automated data retention policies, user data portability, and right-to-deletion capabilities. Multi-factor authentication, role-based access control, and comprehensive audit logging track all system activities. Regular penetration testing by certified security firms identifies and remediates vulnerabilities. Multi-tenant architecture ensures complete data isolation between customers with option for dedicated instances for enterprise clients.</w:t>
      </w:r>
    </w:p>
    <w:p w14:paraId="08565744" w14:textId="77777777" w:rsidR="0070566B" w:rsidRDefault="00000000">
      <w:r>
        <w:br w:type="page"/>
      </w:r>
    </w:p>
    <w:p w14:paraId="735E743D" w14:textId="77777777" w:rsidR="0070566B" w:rsidRDefault="00000000">
      <w:pPr>
        <w:pStyle w:val="Heading2"/>
        <w:spacing w:before="0"/>
      </w:pPr>
      <w:r>
        <w:lastRenderedPageBreak/>
        <w:t>Technical Architecture Diagram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54"/>
        <w:gridCol w:w="876"/>
        <w:gridCol w:w="1240"/>
        <w:gridCol w:w="580"/>
      </w:tblGrid>
      <w:tr w:rsidR="0070566B" w14:paraId="1414F9F5" w14:textId="77777777">
        <w:tblPrEx>
          <w:tblCellMar>
            <w:top w:w="0" w:type="dxa"/>
            <w:bottom w:w="0" w:type="dxa"/>
          </w:tblCellMar>
        </w:tblPrEx>
        <w:trPr>
          <w:gridAfter w:val="3"/>
          <w:wAfter w:w="300" w:type="dxa"/>
        </w:trPr>
        <w:tc>
          <w:tcPr>
            <w:tcW w:w="5000" w:type="pct"/>
            <w:shd w:val="clear" w:color="auto" w:fill="1F4E78"/>
          </w:tcPr>
          <w:p w14:paraId="099E2C45" w14:textId="77777777" w:rsidR="0070566B" w:rsidRDefault="00000000">
            <w:pPr>
              <w:jc w:val="center"/>
            </w:pPr>
            <w:r>
              <w:rPr>
                <w:b/>
                <w:bCs/>
                <w:sz w:val="20"/>
                <w:szCs w:val="20"/>
              </w:rPr>
              <w:t>USER INTERFACE LAYER</w:t>
            </w:r>
          </w:p>
        </w:tc>
      </w:tr>
      <w:tr w:rsidR="0070566B" w14:paraId="5AAAD161" w14:textId="77777777">
        <w:tblPrEx>
          <w:tblCellMar>
            <w:top w:w="0" w:type="dxa"/>
            <w:bottom w:w="0" w:type="dxa"/>
          </w:tblCellMar>
        </w:tblPrEx>
        <w:trPr>
          <w:gridAfter w:val="3"/>
          <w:wAfter w:w="300" w:type="dxa"/>
        </w:trPr>
        <w:tc>
          <w:tcPr>
            <w:tcW w:w="5000" w:type="pct"/>
            <w:shd w:val="clear" w:color="auto" w:fill="D6DCE4"/>
          </w:tcPr>
          <w:p w14:paraId="03C5E9E6" w14:textId="77777777" w:rsidR="0070566B" w:rsidRDefault="00000000">
            <w:pPr>
              <w:jc w:val="center"/>
            </w:pPr>
            <w:r>
              <w:rPr>
                <w:sz w:val="18"/>
                <w:szCs w:val="18"/>
              </w:rPr>
              <w:t>Web App (React) | Mobile App | Email Integration | API</w:t>
            </w:r>
          </w:p>
        </w:tc>
      </w:tr>
      <w:tr w:rsidR="0070566B" w14:paraId="40733D30" w14:textId="77777777">
        <w:tblPrEx>
          <w:tblCellMar>
            <w:top w:w="0" w:type="dxa"/>
            <w:bottom w:w="0" w:type="dxa"/>
          </w:tblCellMar>
        </w:tblPrEx>
        <w:trPr>
          <w:gridAfter w:val="3"/>
          <w:wAfter w:w="300" w:type="dxa"/>
        </w:trPr>
        <w:tc>
          <w:tcPr>
            <w:tcW w:w="5000" w:type="pct"/>
            <w:shd w:val="clear" w:color="auto" w:fill="2E5C8A"/>
          </w:tcPr>
          <w:p w14:paraId="662F5240" w14:textId="77777777" w:rsidR="0070566B" w:rsidRDefault="00000000">
            <w:pPr>
              <w:jc w:val="center"/>
            </w:pPr>
            <w:r>
              <w:rPr>
                <w:b/>
                <w:bCs/>
                <w:sz w:val="20"/>
                <w:szCs w:val="20"/>
              </w:rPr>
              <w:t>API GATEWAY &amp; LOAD BALANCER</w:t>
            </w:r>
          </w:p>
        </w:tc>
      </w:tr>
      <w:tr w:rsidR="0070566B" w14:paraId="1BCA81E0" w14:textId="77777777">
        <w:tblPrEx>
          <w:tblCellMar>
            <w:top w:w="0" w:type="dxa"/>
            <w:bottom w:w="0" w:type="dxa"/>
          </w:tblCellMar>
        </w:tblPrEx>
        <w:trPr>
          <w:gridAfter w:val="3"/>
          <w:wAfter w:w="300" w:type="dxa"/>
        </w:trPr>
        <w:tc>
          <w:tcPr>
            <w:tcW w:w="5000" w:type="pct"/>
            <w:shd w:val="clear" w:color="auto" w:fill="E7E9ED"/>
          </w:tcPr>
          <w:p w14:paraId="1FFF2F69" w14:textId="77777777" w:rsidR="0070566B" w:rsidRDefault="00000000">
            <w:pPr>
              <w:jc w:val="center"/>
            </w:pPr>
            <w:r>
              <w:rPr>
                <w:sz w:val="18"/>
                <w:szCs w:val="18"/>
              </w:rPr>
              <w:t>Authentication | Rate Limiting | Request Routing</w:t>
            </w:r>
          </w:p>
        </w:tc>
      </w:tr>
      <w:tr w:rsidR="0070566B" w14:paraId="6B255BCE" w14:textId="77777777">
        <w:tblPrEx>
          <w:tblCellMar>
            <w:top w:w="0" w:type="dxa"/>
            <w:bottom w:w="0" w:type="dxa"/>
          </w:tblCellMar>
        </w:tblPrEx>
        <w:trPr>
          <w:gridAfter w:val="1"/>
          <w:wAfter w:w="100" w:type="dxa"/>
        </w:trPr>
        <w:tc>
          <w:tcPr>
            <w:tcW w:w="5000" w:type="pct"/>
            <w:gridSpan w:val="3"/>
            <w:shd w:val="clear" w:color="auto" w:fill="4472C4"/>
          </w:tcPr>
          <w:p w14:paraId="42E520BA" w14:textId="77777777" w:rsidR="0070566B" w:rsidRDefault="00000000">
            <w:pPr>
              <w:jc w:val="center"/>
            </w:pPr>
            <w:r>
              <w:rPr>
                <w:b/>
                <w:bCs/>
                <w:sz w:val="20"/>
                <w:szCs w:val="20"/>
              </w:rPr>
              <w:t>MICROSERVICES LAYER</w:t>
            </w:r>
          </w:p>
        </w:tc>
      </w:tr>
      <w:tr w:rsidR="0070566B" w14:paraId="22DA0D73" w14:textId="77777777">
        <w:tblPrEx>
          <w:tblCellMar>
            <w:top w:w="0" w:type="dxa"/>
            <w:bottom w:w="0" w:type="dxa"/>
          </w:tblCellMar>
        </w:tblPrEx>
        <w:trPr>
          <w:gridAfter w:val="1"/>
          <w:wAfter w:w="100" w:type="dxa"/>
        </w:trPr>
        <w:tc>
          <w:tcPr>
            <w:tcW w:w="1650" w:type="pct"/>
            <w:shd w:val="clear" w:color="auto" w:fill="E9EDF4"/>
          </w:tcPr>
          <w:p w14:paraId="133FDEAE" w14:textId="77777777" w:rsidR="0070566B" w:rsidRDefault="00000000">
            <w:pPr>
              <w:spacing w:after="80"/>
              <w:jc w:val="center"/>
            </w:pPr>
            <w:r>
              <w:rPr>
                <w:b/>
                <w:bCs/>
                <w:sz w:val="18"/>
                <w:szCs w:val="18"/>
              </w:rPr>
              <w:t>Document Processing</w:t>
            </w:r>
          </w:p>
          <w:p w14:paraId="144E81F8" w14:textId="77777777" w:rsidR="0070566B" w:rsidRDefault="00000000">
            <w:pPr>
              <w:spacing w:line="300" w:lineRule="auto"/>
            </w:pPr>
            <w:r>
              <w:rPr>
                <w:sz w:val="16"/>
                <w:szCs w:val="16"/>
              </w:rPr>
              <w:t>• OCR &amp; Text Extract • Layout Analysis • Format Conversion</w:t>
            </w:r>
          </w:p>
        </w:tc>
        <w:tc>
          <w:tcPr>
            <w:tcW w:w="1650" w:type="pct"/>
            <w:shd w:val="clear" w:color="auto" w:fill="E9EDF4"/>
          </w:tcPr>
          <w:p w14:paraId="22DCC8E2" w14:textId="77777777" w:rsidR="0070566B" w:rsidRDefault="00000000">
            <w:pPr>
              <w:spacing w:after="80"/>
              <w:jc w:val="center"/>
            </w:pPr>
            <w:r>
              <w:rPr>
                <w:b/>
                <w:bCs/>
                <w:sz w:val="18"/>
                <w:szCs w:val="18"/>
              </w:rPr>
              <w:t>NLP Analysis Engine</w:t>
            </w:r>
          </w:p>
          <w:p w14:paraId="0B134C03" w14:textId="77777777" w:rsidR="0070566B" w:rsidRDefault="00000000">
            <w:pPr>
              <w:spacing w:line="300" w:lineRule="auto"/>
            </w:pPr>
            <w:r>
              <w:rPr>
                <w:sz w:val="16"/>
                <w:szCs w:val="16"/>
              </w:rPr>
              <w:t>• Entity Extraction • Clause Classification • Risk Scoring</w:t>
            </w:r>
          </w:p>
        </w:tc>
        <w:tc>
          <w:tcPr>
            <w:tcW w:w="1700" w:type="pct"/>
            <w:shd w:val="clear" w:color="auto" w:fill="E9EDF4"/>
          </w:tcPr>
          <w:p w14:paraId="7E57D49F" w14:textId="77777777" w:rsidR="0070566B" w:rsidRDefault="00000000">
            <w:pPr>
              <w:spacing w:after="80"/>
              <w:jc w:val="center"/>
            </w:pPr>
            <w:r>
              <w:rPr>
                <w:b/>
                <w:bCs/>
                <w:sz w:val="18"/>
                <w:szCs w:val="18"/>
              </w:rPr>
              <w:t>Intelligence Services</w:t>
            </w:r>
          </w:p>
          <w:p w14:paraId="0A84C72F" w14:textId="77777777" w:rsidR="0070566B" w:rsidRDefault="00000000">
            <w:pPr>
              <w:spacing w:line="300" w:lineRule="auto"/>
            </w:pPr>
            <w:r>
              <w:rPr>
                <w:sz w:val="16"/>
                <w:szCs w:val="16"/>
              </w:rPr>
              <w:t>• Benchmarking • Recommendations • Alerts &amp; Notifications</w:t>
            </w:r>
          </w:p>
        </w:tc>
      </w:tr>
      <w:tr w:rsidR="0070566B" w14:paraId="7393A7E4" w14:textId="77777777">
        <w:tblPrEx>
          <w:tblCellMar>
            <w:top w:w="0" w:type="dxa"/>
            <w:bottom w:w="0" w:type="dxa"/>
          </w:tblCellMar>
        </w:tblPrEx>
        <w:trPr>
          <w:gridAfter w:val="3"/>
          <w:wAfter w:w="300" w:type="dxa"/>
        </w:trPr>
        <w:tc>
          <w:tcPr>
            <w:tcW w:w="5000" w:type="pct"/>
            <w:shd w:val="clear" w:color="auto" w:fill="5B9BD5"/>
          </w:tcPr>
          <w:p w14:paraId="2242B12C" w14:textId="77777777" w:rsidR="0070566B" w:rsidRDefault="00000000">
            <w:pPr>
              <w:jc w:val="center"/>
            </w:pPr>
            <w:r>
              <w:rPr>
                <w:b/>
                <w:bCs/>
                <w:sz w:val="20"/>
                <w:szCs w:val="20"/>
              </w:rPr>
              <w:t>MACHINE LEARNING LAYER</w:t>
            </w:r>
          </w:p>
        </w:tc>
      </w:tr>
      <w:tr w:rsidR="0070566B" w14:paraId="56F994FF" w14:textId="77777777">
        <w:tblPrEx>
          <w:tblCellMar>
            <w:top w:w="0" w:type="dxa"/>
            <w:bottom w:w="0" w:type="dxa"/>
          </w:tblCellMar>
        </w:tblPrEx>
        <w:trPr>
          <w:gridAfter w:val="3"/>
          <w:wAfter w:w="300" w:type="dxa"/>
        </w:trPr>
        <w:tc>
          <w:tcPr>
            <w:tcW w:w="5000" w:type="pct"/>
            <w:shd w:val="clear" w:color="auto" w:fill="EAF1FB"/>
          </w:tcPr>
          <w:p w14:paraId="029CDDE7" w14:textId="77777777" w:rsidR="0070566B" w:rsidRDefault="00000000">
            <w:pPr>
              <w:jc w:val="center"/>
            </w:pPr>
            <w:r>
              <w:rPr>
                <w:sz w:val="18"/>
                <w:szCs w:val="18"/>
              </w:rPr>
              <w:t>LLM APIs (GPT-4, Claude) | Custom NER Models | Risk Classifiers | Embeddings (Vector DB)</w:t>
            </w:r>
          </w:p>
        </w:tc>
      </w:tr>
      <w:tr w:rsidR="0070566B" w14:paraId="0D58A60E" w14:textId="77777777">
        <w:tblPrEx>
          <w:tblCellMar>
            <w:top w:w="0" w:type="dxa"/>
            <w:bottom w:w="0" w:type="dxa"/>
          </w:tblCellMar>
        </w:tblPrEx>
        <w:trPr>
          <w:gridAfter w:val="3"/>
          <w:wAfter w:w="300" w:type="dxa"/>
        </w:trPr>
        <w:tc>
          <w:tcPr>
            <w:tcW w:w="5000" w:type="pct"/>
            <w:shd w:val="clear" w:color="auto" w:fill="70AD47"/>
          </w:tcPr>
          <w:p w14:paraId="3FD5EFAD" w14:textId="77777777" w:rsidR="0070566B" w:rsidRDefault="00000000">
            <w:pPr>
              <w:jc w:val="center"/>
            </w:pPr>
            <w:r>
              <w:rPr>
                <w:b/>
                <w:bCs/>
                <w:sz w:val="20"/>
                <w:szCs w:val="20"/>
              </w:rPr>
              <w:t>DATA LAYER</w:t>
            </w:r>
          </w:p>
        </w:tc>
      </w:tr>
      <w:tr w:rsidR="0070566B" w14:paraId="18C89C82" w14:textId="77777777">
        <w:tblPrEx>
          <w:tblCellMar>
            <w:top w:w="0" w:type="dxa"/>
            <w:bottom w:w="0" w:type="dxa"/>
          </w:tblCellMar>
        </w:tblPrEx>
        <w:tc>
          <w:tcPr>
            <w:tcW w:w="1250" w:type="pct"/>
            <w:shd w:val="clear" w:color="auto" w:fill="E2F0D9"/>
          </w:tcPr>
          <w:p w14:paraId="1CE71146" w14:textId="77777777" w:rsidR="0070566B" w:rsidRDefault="00000000">
            <w:pPr>
              <w:jc w:val="center"/>
            </w:pPr>
            <w:r>
              <w:rPr>
                <w:b/>
                <w:bCs/>
                <w:sz w:val="16"/>
                <w:szCs w:val="16"/>
              </w:rPr>
              <w:t>PostgreSQL (Structured Data)</w:t>
            </w:r>
          </w:p>
        </w:tc>
        <w:tc>
          <w:tcPr>
            <w:tcW w:w="1250" w:type="pct"/>
            <w:shd w:val="clear" w:color="auto" w:fill="E2F0D9"/>
          </w:tcPr>
          <w:p w14:paraId="678E6805" w14:textId="77777777" w:rsidR="0070566B" w:rsidRDefault="00000000">
            <w:pPr>
              <w:jc w:val="center"/>
            </w:pPr>
            <w:r>
              <w:rPr>
                <w:b/>
                <w:bCs/>
                <w:sz w:val="16"/>
                <w:szCs w:val="16"/>
              </w:rPr>
              <w:t>MongoDB (Documents)</w:t>
            </w:r>
          </w:p>
        </w:tc>
        <w:tc>
          <w:tcPr>
            <w:tcW w:w="1250" w:type="pct"/>
            <w:shd w:val="clear" w:color="auto" w:fill="E2F0D9"/>
          </w:tcPr>
          <w:p w14:paraId="5D396D7E" w14:textId="77777777" w:rsidR="0070566B" w:rsidRDefault="00000000">
            <w:pPr>
              <w:jc w:val="center"/>
            </w:pPr>
            <w:r>
              <w:rPr>
                <w:b/>
                <w:bCs/>
                <w:sz w:val="16"/>
                <w:szCs w:val="16"/>
              </w:rPr>
              <w:t>Redis (Cache)</w:t>
            </w:r>
          </w:p>
        </w:tc>
        <w:tc>
          <w:tcPr>
            <w:tcW w:w="1250" w:type="pct"/>
            <w:shd w:val="clear" w:color="auto" w:fill="E2F0D9"/>
          </w:tcPr>
          <w:p w14:paraId="7F2A6744" w14:textId="77777777" w:rsidR="0070566B" w:rsidRDefault="00000000">
            <w:pPr>
              <w:jc w:val="center"/>
            </w:pPr>
            <w:r>
              <w:rPr>
                <w:b/>
                <w:bCs/>
                <w:sz w:val="16"/>
                <w:szCs w:val="16"/>
              </w:rPr>
              <w:t>S3 (File Storage)</w:t>
            </w:r>
          </w:p>
        </w:tc>
      </w:tr>
      <w:tr w:rsidR="0070566B" w14:paraId="32BF6D07" w14:textId="77777777">
        <w:tblPrEx>
          <w:tblCellMar>
            <w:top w:w="0" w:type="dxa"/>
            <w:bottom w:w="0" w:type="dxa"/>
          </w:tblCellMar>
        </w:tblPrEx>
        <w:trPr>
          <w:gridAfter w:val="3"/>
          <w:wAfter w:w="300" w:type="dxa"/>
        </w:trPr>
        <w:tc>
          <w:tcPr>
            <w:tcW w:w="5000" w:type="pct"/>
            <w:shd w:val="clear" w:color="auto" w:fill="FFC000"/>
          </w:tcPr>
          <w:p w14:paraId="6328E3FE" w14:textId="77777777" w:rsidR="0070566B" w:rsidRDefault="00000000">
            <w:pPr>
              <w:jc w:val="center"/>
            </w:pPr>
            <w:r>
              <w:rPr>
                <w:b/>
                <w:bCs/>
                <w:sz w:val="20"/>
                <w:szCs w:val="20"/>
              </w:rPr>
              <w:t>INFRASTRUCTURE LAYER</w:t>
            </w:r>
          </w:p>
        </w:tc>
      </w:tr>
      <w:tr w:rsidR="0070566B" w14:paraId="7C28FA41" w14:textId="77777777">
        <w:tblPrEx>
          <w:tblCellMar>
            <w:top w:w="0" w:type="dxa"/>
            <w:bottom w:w="0" w:type="dxa"/>
          </w:tblCellMar>
        </w:tblPrEx>
        <w:trPr>
          <w:gridAfter w:val="3"/>
          <w:wAfter w:w="300" w:type="dxa"/>
        </w:trPr>
        <w:tc>
          <w:tcPr>
            <w:tcW w:w="5000" w:type="pct"/>
            <w:shd w:val="clear" w:color="auto" w:fill="FFF2CC"/>
          </w:tcPr>
          <w:p w14:paraId="74C672A4" w14:textId="77777777" w:rsidR="0070566B" w:rsidRDefault="00000000">
            <w:pPr>
              <w:jc w:val="center"/>
            </w:pPr>
            <w:r>
              <w:rPr>
                <w:sz w:val="18"/>
                <w:szCs w:val="18"/>
              </w:rPr>
              <w:t>AWS Cloud | Kubernetes | Docker | CloudFront CDN | Monitoring &amp; Logging</w:t>
            </w:r>
          </w:p>
        </w:tc>
      </w:tr>
    </w:tbl>
    <w:p w14:paraId="4B159968" w14:textId="77777777" w:rsidR="0070566B" w:rsidRDefault="0070566B">
      <w:pPr>
        <w:spacing w:after="240"/>
      </w:pPr>
    </w:p>
    <w:p w14:paraId="16AB061F" w14:textId="77777777" w:rsidR="0070566B" w:rsidRDefault="00000000">
      <w:pPr>
        <w:pStyle w:val="Heading3"/>
      </w:pPr>
      <w:r>
        <w:t>Data Flow Process</w:t>
      </w:r>
    </w:p>
    <w:p w14:paraId="3A1696D9" w14:textId="77777777" w:rsidR="0070566B" w:rsidRDefault="00000000">
      <w:pPr>
        <w:spacing w:after="360"/>
        <w:jc w:val="center"/>
      </w:pPr>
      <w:r>
        <w:rPr>
          <w:i/>
          <w:iCs/>
          <w:sz w:val="20"/>
          <w:szCs w:val="20"/>
        </w:rPr>
        <w:t>1. User uploads contract → 2. Document processing extracts text and structure → 3. NLP engine analyzes clauses → 4. ML models classify and score risks → 5. Benchmarking compares against market data → 6. Recommendations generated → 7. Results displayed to user with actionable insights</w:t>
      </w:r>
    </w:p>
    <w:p w14:paraId="0FA5D688" w14:textId="77777777" w:rsidR="0070566B" w:rsidRDefault="00000000">
      <w:r>
        <w:br w:type="page"/>
      </w:r>
    </w:p>
    <w:p w14:paraId="6823CEC2" w14:textId="77777777" w:rsidR="0070566B" w:rsidRDefault="00000000">
      <w:pPr>
        <w:pStyle w:val="Heading1"/>
        <w:spacing w:before="0"/>
      </w:pPr>
      <w:r>
        <w:lastRenderedPageBreak/>
        <w:t>Business Perspective</w:t>
      </w:r>
    </w:p>
    <w:p w14:paraId="40BFE0E3" w14:textId="77777777" w:rsidR="0070566B" w:rsidRDefault="00000000">
      <w:pPr>
        <w:pStyle w:val="Heading2"/>
      </w:pPr>
      <w:r>
        <w:t>Market Opportunity</w:t>
      </w:r>
    </w:p>
    <w:p w14:paraId="1C233A56" w14:textId="77777777" w:rsidR="0070566B" w:rsidRDefault="00000000">
      <w:pPr>
        <w:spacing w:after="360" w:line="360" w:lineRule="auto"/>
        <w:jc w:val="both"/>
      </w:pPr>
      <w:r>
        <w:t>The contract management market for SMBs represents a $4.5 billion opportunity with over 6 million businesses in the United States alone. Current solutions create a significant gap—enterprise platforms cost $30,000-100,000 annually targeting Fortune 500 companies, while SMBs rely on inadequate spreadsheets and email folders. Research indicates companies lose $50,000-200,000 annually through missed renewal negotiations, unfavorable contract terms, and excessive legal review costs. Digital transformation accelerates the problem as businesses adopt 40-50+ SaaS tools, each requiring contract review and management. The shift to remote work has increased documentation requirements while reducing in-person contract reviews, creating urgent demand for automated intelligent solutions.</w:t>
      </w:r>
    </w:p>
    <w:p w14:paraId="0E81AEDE" w14:textId="77777777" w:rsidR="0070566B" w:rsidRDefault="00000000">
      <w:pPr>
        <w:pStyle w:val="Heading2"/>
      </w:pPr>
      <w:r>
        <w:t>Revenue Model &amp; Economics</w:t>
      </w:r>
    </w:p>
    <w:p w14:paraId="201E21EA" w14:textId="77777777" w:rsidR="0070566B" w:rsidRDefault="00000000">
      <w:pPr>
        <w:spacing w:after="120"/>
      </w:pPr>
      <w:r>
        <w:rPr>
          <w:b/>
          <w:bCs/>
        </w:rPr>
        <w:t>Tiered SaaS Pricing Structure:</w:t>
      </w:r>
    </w:p>
    <w:p w14:paraId="3F07C861" w14:textId="77777777" w:rsidR="0070566B" w:rsidRDefault="00000000">
      <w:pPr>
        <w:spacing w:after="360" w:line="360" w:lineRule="auto"/>
      </w:pPr>
      <w:r>
        <w:t>• Starter Plan: $299/month - Up to 50 contracts/year, 3 users, basic features (Target: 10-50 employee companies) • Professional Plan: $499/month - Up to 150 contracts/year, 10 users, advanced analytics (Target: 50-200 employees) • Business Plan: $899/month - Unlimited contracts, 25 users, premium features + integrations (Target: 200-500 employees) • Enterprise Plan: Custom pricing starting $15,000/year - Unlimited everything, dedicated support, custom integrations</w:t>
      </w:r>
    </w:p>
    <w:p w14:paraId="289EF7D3" w14:textId="77777777" w:rsidR="0070566B" w:rsidRDefault="00000000">
      <w:pPr>
        <w:spacing w:after="120"/>
      </w:pPr>
      <w:r>
        <w:rPr>
          <w:b/>
          <w:bCs/>
        </w:rPr>
        <w:t>Unit Economics at Scale:</w:t>
      </w:r>
    </w:p>
    <w:p w14:paraId="7596112C" w14:textId="77777777" w:rsidR="0070566B" w:rsidRDefault="00000000">
      <w:pPr>
        <w:spacing w:after="360" w:line="360" w:lineRule="auto"/>
      </w:pPr>
      <w:r>
        <w:t xml:space="preserve">Average Revenue Per Account (ARPA): $5,988/year | Customer Acquisition Cost (CAC): $1,500 blended | Customer Lifetime: 4-5 years | Lifetime Value (LTV): $24,000-30,000 | </w:t>
      </w:r>
      <w:proofErr w:type="gramStart"/>
      <w:r>
        <w:t>LTV:CAC</w:t>
      </w:r>
      <w:proofErr w:type="gramEnd"/>
      <w:r>
        <w:t xml:space="preserve"> Ratio: 16:1 to 20:1 | Gross Margin: 85-90% | Annual Churn Rate: 15-20%</w:t>
      </w:r>
    </w:p>
    <w:p w14:paraId="191DB5AE" w14:textId="77777777" w:rsidR="0070566B" w:rsidRDefault="00000000">
      <w:pPr>
        <w:spacing w:after="360" w:line="360" w:lineRule="auto"/>
        <w:jc w:val="both"/>
      </w:pPr>
      <w:r>
        <w:t>Additional Revenue Streams: Negotiation assistance service at $500 per contract, annual comprehensive contract audits at $2,500, custom AI model training for company-specific templates at $5,000 setup fee, white-label partnerships with accounting and law firms generating 20% revenue share.</w:t>
      </w:r>
    </w:p>
    <w:p w14:paraId="23CF8EE2" w14:textId="77777777" w:rsidR="0070566B" w:rsidRDefault="00000000">
      <w:pPr>
        <w:pStyle w:val="Heading2"/>
      </w:pPr>
      <w:r>
        <w:t>Go-to-Market Strategy</w:t>
      </w:r>
    </w:p>
    <w:p w14:paraId="6CA93031" w14:textId="77777777" w:rsidR="0070566B" w:rsidRDefault="00000000">
      <w:pPr>
        <w:spacing w:after="120"/>
      </w:pPr>
      <w:r>
        <w:rPr>
          <w:b/>
          <w:bCs/>
        </w:rPr>
        <w:t>Phase 1 - Niche Domination (Months 1-6):</w:t>
      </w:r>
    </w:p>
    <w:p w14:paraId="31AABB91" w14:textId="77777777" w:rsidR="0070566B" w:rsidRDefault="00000000">
      <w:pPr>
        <w:spacing w:after="320" w:line="360" w:lineRule="auto"/>
        <w:jc w:val="both"/>
      </w:pPr>
      <w:r>
        <w:t xml:space="preserve">Launch exclusively focused on SaaS vendor contract analysis where every business manages 20-50+ subscriptions creating immediate demonstrable value. Founder-led sales directly target 100 CFOs and </w:t>
      </w:r>
      <w:r>
        <w:lastRenderedPageBreak/>
        <w:t>operations leaders in mid-market companies. Free contract audit program analyzes 5 contracts at no cost, converting prospects to paid subscriptions through demonstrated ROI. Content marketing through CFO communities, accounting association newsletters, and legal tech forums builds credibility and awareness. SEO optimization targets high-intent searches including "SaaS contract review," "vendor management software," and "contract cost savings." Goal: 20 paying customers, $100,000 ARR, validated product-market fit.</w:t>
      </w:r>
    </w:p>
    <w:p w14:paraId="7DEA7593" w14:textId="77777777" w:rsidR="0070566B" w:rsidRDefault="00000000">
      <w:pPr>
        <w:spacing w:after="120"/>
      </w:pPr>
      <w:r>
        <w:rPr>
          <w:b/>
          <w:bCs/>
        </w:rPr>
        <w:t>Phase 2 - Expansion (Months 7-18):</w:t>
      </w:r>
    </w:p>
    <w:p w14:paraId="26AD88AE" w14:textId="77777777" w:rsidR="0070566B" w:rsidRDefault="00000000">
      <w:pPr>
        <w:spacing w:after="320" w:line="360" w:lineRule="auto"/>
        <w:jc w:val="both"/>
      </w:pPr>
      <w:r>
        <w:t xml:space="preserve">Expand contract type coverage to include customer agreements, employment contracts, partnership agreements, and NDAs. Build outbound sales team with 2 SDRs targeting LinkedIn-sourced CFOs and General Counsels. Establish strategic partnerships with accounting firms, business consultants, and SMB-focused law firms creating referral channels. Develop case study library showcasing "$180K saved in first year" type ROI stories. Launch integration marketplace connecting to </w:t>
      </w:r>
      <w:proofErr w:type="spellStart"/>
      <w:r>
        <w:t>DocuSign</w:t>
      </w:r>
      <w:proofErr w:type="spellEnd"/>
      <w:r>
        <w:t>, Salesforce, QuickBooks, and other business tools. Goal: 150 customers, $900,000 ARR, proven scalable acquisition channels.</w:t>
      </w:r>
    </w:p>
    <w:p w14:paraId="6A6153D9" w14:textId="77777777" w:rsidR="0070566B" w:rsidRDefault="00000000">
      <w:pPr>
        <w:spacing w:after="120"/>
      </w:pPr>
      <w:r>
        <w:rPr>
          <w:b/>
          <w:bCs/>
        </w:rPr>
        <w:t>Phase 3 - Scale (Months 19-36):</w:t>
      </w:r>
    </w:p>
    <w:p w14:paraId="32DAA777" w14:textId="77777777" w:rsidR="0070566B" w:rsidRDefault="00000000">
      <w:pPr>
        <w:spacing w:after="360" w:line="360" w:lineRule="auto"/>
        <w:jc w:val="both"/>
      </w:pPr>
      <w:r>
        <w:t>Implement product-led growth with free tier analyzing 5 contracts annually driving viral adoption. Build channel partnerships where accounting firms embed the tool for clients and law firms white-label for contract review services. Expand to adjacent markets including business insurance brokers recommending the platform to improve client coverage positions. Launch self-service onboarding with interactive demos reducing sales cycle time. Goal: 500 customers, $3 million ARR, Series A funding readiness.</w:t>
      </w:r>
    </w:p>
    <w:p w14:paraId="09574ED5" w14:textId="77777777" w:rsidR="0070566B" w:rsidRDefault="00000000">
      <w:r>
        <w:br w:type="page"/>
      </w:r>
    </w:p>
    <w:p w14:paraId="7578099B" w14:textId="77777777" w:rsidR="0070566B" w:rsidRDefault="00000000">
      <w:pPr>
        <w:pStyle w:val="Heading2"/>
        <w:spacing w:before="0"/>
      </w:pPr>
      <w:r>
        <w:lastRenderedPageBreak/>
        <w:t>Business Model Canvas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6"/>
        <w:gridCol w:w="3007"/>
        <w:gridCol w:w="1152"/>
        <w:gridCol w:w="1200"/>
        <w:gridCol w:w="985"/>
      </w:tblGrid>
      <w:tr w:rsidR="0070566B" w14:paraId="35541E2F" w14:textId="77777777">
        <w:tblPrEx>
          <w:tblCellMar>
            <w:top w:w="0" w:type="dxa"/>
            <w:bottom w:w="0" w:type="dxa"/>
          </w:tblCellMar>
        </w:tblPrEx>
        <w:tc>
          <w:tcPr>
            <w:tcW w:w="1000" w:type="pct"/>
            <w:shd w:val="clear" w:color="auto" w:fill="FFF2CC"/>
          </w:tcPr>
          <w:p w14:paraId="19158369" w14:textId="77777777" w:rsidR="0070566B" w:rsidRDefault="00000000">
            <w:pPr>
              <w:spacing w:after="100"/>
            </w:pPr>
            <w:r>
              <w:rPr>
                <w:b/>
                <w:bCs/>
                <w:sz w:val="18"/>
                <w:szCs w:val="18"/>
              </w:rPr>
              <w:t>KEY PARTNERS</w:t>
            </w:r>
          </w:p>
          <w:p w14:paraId="695F0F9C" w14:textId="77777777" w:rsidR="0070566B" w:rsidRDefault="00000000">
            <w:pPr>
              <w:spacing w:line="300" w:lineRule="auto"/>
            </w:pPr>
            <w:r>
              <w:rPr>
                <w:sz w:val="16"/>
                <w:szCs w:val="16"/>
              </w:rPr>
              <w:t>• Accounting firms • Law firms (referrals) • Business consultants • Cloud providers (AWS) • API providers (OpenAI) • Industry associations</w:t>
            </w:r>
          </w:p>
        </w:tc>
        <w:tc>
          <w:tcPr>
            <w:tcW w:w="1000" w:type="pct"/>
            <w:vMerge w:val="restart"/>
            <w:shd w:val="clear" w:color="auto" w:fill="E2F0D9"/>
          </w:tcPr>
          <w:p w14:paraId="7EE6C3E9" w14:textId="77777777" w:rsidR="0070566B" w:rsidRDefault="00000000">
            <w:pPr>
              <w:spacing w:after="100"/>
            </w:pPr>
            <w:r>
              <w:rPr>
                <w:b/>
                <w:bCs/>
                <w:sz w:val="18"/>
                <w:szCs w:val="18"/>
              </w:rPr>
              <w:t>KEY ACTIVITIES</w:t>
            </w:r>
          </w:p>
          <w:p w14:paraId="75F6C597" w14:textId="77777777" w:rsidR="0070566B" w:rsidRDefault="00000000">
            <w:pPr>
              <w:spacing w:line="300" w:lineRule="auto"/>
            </w:pPr>
            <w:r>
              <w:rPr>
                <w:sz w:val="16"/>
                <w:szCs w:val="16"/>
              </w:rPr>
              <w:t>• ML model training • Product development • Customer support • Sales &amp; marketing • Data collection &amp; analysis</w:t>
            </w:r>
          </w:p>
        </w:tc>
        <w:tc>
          <w:tcPr>
            <w:tcW w:w="1000" w:type="pct"/>
            <w:vMerge w:val="restart"/>
            <w:shd w:val="clear" w:color="auto" w:fill="DEEAF6"/>
          </w:tcPr>
          <w:p w14:paraId="17072D1E" w14:textId="77777777" w:rsidR="0070566B" w:rsidRDefault="00000000">
            <w:pPr>
              <w:spacing w:after="100"/>
            </w:pPr>
            <w:r>
              <w:rPr>
                <w:b/>
                <w:bCs/>
                <w:sz w:val="18"/>
                <w:szCs w:val="18"/>
              </w:rPr>
              <w:t>VALUE PROPOSITIONS</w:t>
            </w:r>
          </w:p>
          <w:p w14:paraId="095A83BC" w14:textId="77777777" w:rsidR="0070566B" w:rsidRDefault="00000000">
            <w:pPr>
              <w:spacing w:line="300" w:lineRule="auto"/>
            </w:pPr>
            <w:r>
              <w:rPr>
                <w:sz w:val="16"/>
                <w:szCs w:val="16"/>
              </w:rPr>
              <w:t>• 90% cost savings vs lawyers • 60-second analysis • $25K+ annual savings • Risk prevention • Market benchmarking • 24/7 availability • No legal team needed</w:t>
            </w:r>
          </w:p>
        </w:tc>
        <w:tc>
          <w:tcPr>
            <w:tcW w:w="1000" w:type="pct"/>
            <w:shd w:val="clear" w:color="auto" w:fill="FCE4D6"/>
          </w:tcPr>
          <w:p w14:paraId="707C80BC" w14:textId="77777777" w:rsidR="0070566B" w:rsidRDefault="00000000">
            <w:pPr>
              <w:spacing w:after="100"/>
            </w:pPr>
            <w:r>
              <w:rPr>
                <w:b/>
                <w:bCs/>
                <w:sz w:val="18"/>
                <w:szCs w:val="18"/>
              </w:rPr>
              <w:t>CUSTOMER RELATIONSHIPS</w:t>
            </w:r>
          </w:p>
          <w:p w14:paraId="7363AA66" w14:textId="77777777" w:rsidR="0070566B" w:rsidRDefault="00000000">
            <w:pPr>
              <w:spacing w:line="300" w:lineRule="auto"/>
            </w:pPr>
            <w:r>
              <w:rPr>
                <w:sz w:val="16"/>
                <w:szCs w:val="16"/>
              </w:rPr>
              <w:t>• Self-service platform • Customer success managers • Email support • Knowledge base • Webinars &amp; training</w:t>
            </w:r>
          </w:p>
        </w:tc>
        <w:tc>
          <w:tcPr>
            <w:tcW w:w="1000" w:type="pct"/>
            <w:vMerge w:val="restart"/>
            <w:shd w:val="clear" w:color="auto" w:fill="F4B084"/>
          </w:tcPr>
          <w:p w14:paraId="518CFFDE" w14:textId="77777777" w:rsidR="0070566B" w:rsidRDefault="00000000">
            <w:pPr>
              <w:spacing w:after="100"/>
            </w:pPr>
            <w:r>
              <w:rPr>
                <w:b/>
                <w:bCs/>
                <w:sz w:val="18"/>
                <w:szCs w:val="18"/>
              </w:rPr>
              <w:t>CUSTOMER SEGMENTS</w:t>
            </w:r>
          </w:p>
          <w:p w14:paraId="2940C862" w14:textId="77777777" w:rsidR="0070566B" w:rsidRDefault="00000000">
            <w:pPr>
              <w:spacing w:line="300" w:lineRule="auto"/>
            </w:pPr>
            <w:r>
              <w:rPr>
                <w:sz w:val="16"/>
                <w:szCs w:val="16"/>
              </w:rPr>
              <w:t>• SMBs (50-500 employees) • CFOs &amp; GCs • SaaS companies • Professional services • Manufacturing • E-commerce</w:t>
            </w:r>
          </w:p>
        </w:tc>
      </w:tr>
      <w:tr w:rsidR="0070566B" w14:paraId="6BBB8285" w14:textId="77777777">
        <w:tblPrEx>
          <w:tblCellMar>
            <w:top w:w="0" w:type="dxa"/>
            <w:bottom w:w="0" w:type="dxa"/>
          </w:tblCellMar>
        </w:tblPrEx>
        <w:tc>
          <w:tcPr>
            <w:tcW w:w="1000" w:type="pct"/>
            <w:shd w:val="clear" w:color="auto" w:fill="D9E1F2"/>
          </w:tcPr>
          <w:p w14:paraId="7716CEF5" w14:textId="77777777" w:rsidR="0070566B" w:rsidRDefault="00000000">
            <w:pPr>
              <w:spacing w:after="100"/>
            </w:pPr>
            <w:r>
              <w:rPr>
                <w:b/>
                <w:bCs/>
                <w:sz w:val="18"/>
                <w:szCs w:val="18"/>
              </w:rPr>
              <w:t>KEY RESOURCES</w:t>
            </w:r>
          </w:p>
          <w:p w14:paraId="410E7DB2" w14:textId="77777777" w:rsidR="0070566B" w:rsidRDefault="00000000">
            <w:pPr>
              <w:spacing w:line="300" w:lineRule="auto"/>
            </w:pPr>
            <w:r>
              <w:rPr>
                <w:sz w:val="16"/>
                <w:szCs w:val="16"/>
              </w:rPr>
              <w:t>• AI/ML technology • Contract database • Engineering team • Sales team • Brand &amp; IP • Customer data</w:t>
            </w:r>
          </w:p>
        </w:tc>
        <w:tc>
          <w:tcPr>
            <w:tcW w:w="0" w:type="auto"/>
            <w:vMerge/>
          </w:tcPr>
          <w:p w14:paraId="63F8F6B2" w14:textId="77777777" w:rsidR="0070566B" w:rsidRDefault="0070566B"/>
        </w:tc>
        <w:tc>
          <w:tcPr>
            <w:tcW w:w="0" w:type="auto"/>
            <w:vMerge/>
          </w:tcPr>
          <w:p w14:paraId="611CED1E" w14:textId="77777777" w:rsidR="0070566B" w:rsidRDefault="0070566B"/>
        </w:tc>
        <w:tc>
          <w:tcPr>
            <w:tcW w:w="1000" w:type="pct"/>
            <w:shd w:val="clear" w:color="auto" w:fill="E2EFDA"/>
          </w:tcPr>
          <w:p w14:paraId="2DC18BAA" w14:textId="77777777" w:rsidR="0070566B" w:rsidRDefault="00000000">
            <w:pPr>
              <w:spacing w:after="100"/>
            </w:pPr>
            <w:r>
              <w:rPr>
                <w:b/>
                <w:bCs/>
                <w:sz w:val="18"/>
                <w:szCs w:val="18"/>
              </w:rPr>
              <w:t>CHANNELS</w:t>
            </w:r>
          </w:p>
          <w:p w14:paraId="7517C495" w14:textId="77777777" w:rsidR="0070566B" w:rsidRDefault="00000000">
            <w:pPr>
              <w:spacing w:line="300" w:lineRule="auto"/>
            </w:pPr>
            <w:r>
              <w:rPr>
                <w:sz w:val="16"/>
                <w:szCs w:val="16"/>
              </w:rPr>
              <w:t>• Direct sales • Website/SaaS platform • Partner referrals • Content marketing • LinkedIn outreach • Email campaigns</w:t>
            </w:r>
          </w:p>
        </w:tc>
        <w:tc>
          <w:tcPr>
            <w:tcW w:w="0" w:type="auto"/>
            <w:vMerge/>
          </w:tcPr>
          <w:p w14:paraId="2BDD8170" w14:textId="77777777" w:rsidR="0070566B" w:rsidRDefault="0070566B"/>
        </w:tc>
      </w:tr>
      <w:tr w:rsidR="0070566B" w14:paraId="16ED3DA7" w14:textId="77777777">
        <w:tblPrEx>
          <w:tblCellMar>
            <w:top w:w="0" w:type="dxa"/>
            <w:bottom w:w="0" w:type="dxa"/>
          </w:tblCellMar>
        </w:tblPrEx>
        <w:trPr>
          <w:gridAfter w:val="3"/>
          <w:wAfter w:w="300" w:type="dxa"/>
        </w:trPr>
        <w:tc>
          <w:tcPr>
            <w:tcW w:w="2500" w:type="pct"/>
            <w:shd w:val="clear" w:color="auto" w:fill="FFE699"/>
          </w:tcPr>
          <w:p w14:paraId="138B2A8B" w14:textId="77777777" w:rsidR="0070566B" w:rsidRDefault="00000000">
            <w:pPr>
              <w:spacing w:after="100"/>
            </w:pPr>
            <w:r>
              <w:rPr>
                <w:b/>
                <w:bCs/>
                <w:sz w:val="18"/>
                <w:szCs w:val="18"/>
              </w:rPr>
              <w:t>COST STRUCTURE</w:t>
            </w:r>
          </w:p>
          <w:p w14:paraId="5CEBE4A5" w14:textId="77777777" w:rsidR="0070566B" w:rsidRDefault="00000000">
            <w:pPr>
              <w:spacing w:line="300" w:lineRule="auto"/>
            </w:pPr>
            <w:r>
              <w:rPr>
                <w:sz w:val="16"/>
                <w:szCs w:val="16"/>
              </w:rPr>
              <w:t>• Engineering salaries (40%) • Cloud infrastructure (8%) • API costs - LLMs (5%) • Sales &amp; marketing (25%) • Customer support (10%) • Administrative (12%)</w:t>
            </w:r>
          </w:p>
        </w:tc>
        <w:tc>
          <w:tcPr>
            <w:tcW w:w="2500" w:type="pct"/>
            <w:shd w:val="clear" w:color="auto" w:fill="C6E0B4"/>
          </w:tcPr>
          <w:p w14:paraId="60AF7916" w14:textId="77777777" w:rsidR="0070566B" w:rsidRDefault="00000000">
            <w:pPr>
              <w:spacing w:after="100"/>
            </w:pPr>
            <w:r>
              <w:rPr>
                <w:b/>
                <w:bCs/>
                <w:sz w:val="18"/>
                <w:szCs w:val="18"/>
              </w:rPr>
              <w:t>REVENUE STREAMS</w:t>
            </w:r>
          </w:p>
          <w:p w14:paraId="46C53774" w14:textId="77777777" w:rsidR="0070566B" w:rsidRDefault="00000000">
            <w:pPr>
              <w:spacing w:line="300" w:lineRule="auto"/>
            </w:pPr>
            <w:r>
              <w:rPr>
                <w:sz w:val="16"/>
                <w:szCs w:val="16"/>
              </w:rPr>
              <w:t>• Monthly subscriptions (85%): $299-899/month • Negotiation services (8%): $500/contract • Annual audits (4%): $2,500/audit • Enterprise contracts (3%): $15K+/</w:t>
            </w:r>
            <w:proofErr w:type="gramStart"/>
            <w:r>
              <w:rPr>
                <w:sz w:val="16"/>
                <w:szCs w:val="16"/>
              </w:rPr>
              <w:t>year  Target</w:t>
            </w:r>
            <w:proofErr w:type="gramEnd"/>
            <w:r>
              <w:rPr>
                <w:sz w:val="16"/>
                <w:szCs w:val="16"/>
              </w:rPr>
              <w:t>: $5,988 ARPA | 85-90% gross margin</w:t>
            </w:r>
          </w:p>
        </w:tc>
      </w:tr>
    </w:tbl>
    <w:p w14:paraId="2662E159" w14:textId="77777777" w:rsidR="0070566B" w:rsidRDefault="0070566B">
      <w:pPr>
        <w:spacing w:after="360"/>
      </w:pPr>
    </w:p>
    <w:p w14:paraId="3A6BD738" w14:textId="77777777" w:rsidR="0070566B" w:rsidRDefault="00000000">
      <w:pPr>
        <w:pStyle w:val="Heading2"/>
      </w:pPr>
      <w:r>
        <w:t>Competitive Positioning</w:t>
      </w:r>
    </w:p>
    <w:p w14:paraId="562C488C" w14:textId="77777777" w:rsidR="0070566B" w:rsidRDefault="00000000">
      <w:pPr>
        <w:spacing w:after="320" w:line="360" w:lineRule="auto"/>
        <w:jc w:val="both"/>
      </w:pPr>
      <w:r>
        <w:t xml:space="preserve">The platform occupies a unique market position between expensive enterprise solutions and manual processes. Against enterprise competitors like Ironclad ($30K-100K/year), </w:t>
      </w:r>
      <w:proofErr w:type="spellStart"/>
      <w:r>
        <w:t>LinkSquares</w:t>
      </w:r>
      <w:proofErr w:type="spellEnd"/>
      <w:r>
        <w:t xml:space="preserve"> ($20K-60K/year), and </w:t>
      </w:r>
      <w:proofErr w:type="spellStart"/>
      <w:r>
        <w:t>DocuSign</w:t>
      </w:r>
      <w:proofErr w:type="spellEnd"/>
      <w:r>
        <w:t xml:space="preserve"> CLM ($25K-80K/year), we offer 90% cost reduction with SMB-optimized features requiring no dedicated legal team. Compared to law firm services charging $300-500 hourly, we provide instant 60-second analysis, 24/7 availability, and predictable monthly costs. Our specialized AI models trained on SMB contract patterns deliver more relevant insights than generic enterprise tools built for Fortune 500 legal departments.</w:t>
      </w:r>
    </w:p>
    <w:p w14:paraId="7BE80E74" w14:textId="77777777" w:rsidR="0070566B" w:rsidRDefault="00000000">
      <w:pPr>
        <w:spacing w:after="360" w:line="360" w:lineRule="auto"/>
        <w:jc w:val="both"/>
      </w:pPr>
      <w:r>
        <w:t xml:space="preserve">Competitive advantages include network effects where each analyzed contract improves benchmarking accuracy for all customers, creating a data moat difficult for new entrants to replicate. First-mover advantage in the SMB segment establishes brand recognition before larger competitors adjust strategies. </w:t>
      </w:r>
      <w:r>
        <w:lastRenderedPageBreak/>
        <w:t>The combination of accessible pricing, enterprise-grade technology, and laser focus on SMB needs creates defensible differentiation in an underserved $4.5 billion market.</w:t>
      </w:r>
    </w:p>
    <w:p w14:paraId="107F720D" w14:textId="77777777" w:rsidR="0070566B" w:rsidRDefault="00000000">
      <w:pPr>
        <w:pStyle w:val="Heading2"/>
      </w:pPr>
      <w:r>
        <w:t>Three-Year Financial Projections</w:t>
      </w:r>
    </w:p>
    <w:p w14:paraId="04472495" w14:textId="77777777" w:rsidR="0070566B" w:rsidRDefault="00000000">
      <w:pPr>
        <w:spacing w:after="240" w:line="360" w:lineRule="auto"/>
        <w:jc w:val="both"/>
      </w:pPr>
      <w:r>
        <w:rPr>
          <w:b/>
          <w:bCs/>
        </w:rPr>
        <w:t>Year 1 - Foundation: 50 customers, $250,000 ARR, $300,000 operating costs (team of 4: 2 engineers, 1 marketer, founder), $500,000 seed funding required. Focus on product-market fit validation and initial customer acquisition.</w:t>
      </w:r>
    </w:p>
    <w:p w14:paraId="38532306" w14:textId="77777777" w:rsidR="0070566B" w:rsidRDefault="00000000">
      <w:pPr>
        <w:spacing w:after="240" w:line="360" w:lineRule="auto"/>
        <w:jc w:val="both"/>
      </w:pPr>
      <w:r>
        <w:rPr>
          <w:b/>
          <w:bCs/>
        </w:rPr>
        <w:t>Year 2 - Growth: 250 customers, $1,500,000 ARR, $1,200,000 operating costs (team expansion to 8: 3 engineers, 2 sales, 2 marketing, 1 customer success), Q4 break-even achievement. Proven acquisition channels and expanded product capabilities.</w:t>
      </w:r>
    </w:p>
    <w:p w14:paraId="68736E2D" w14:textId="77777777" w:rsidR="0070566B" w:rsidRDefault="00000000">
      <w:pPr>
        <w:spacing w:after="360" w:line="360" w:lineRule="auto"/>
        <w:jc w:val="both"/>
      </w:pPr>
      <w:r>
        <w:rPr>
          <w:b/>
          <w:bCs/>
        </w:rPr>
        <w:t>Year 3 - Scale: 800 customers, $4,800,000 ARR, 20 employees, 20-30% profit margin, $30-50 million valuation (10x ARR multiple for high-growth SaaS). Series A funding readiness with demonstrated unit economics and market leadership.</w:t>
      </w:r>
    </w:p>
    <w:p w14:paraId="2F569BC0" w14:textId="77777777" w:rsidR="0070566B" w:rsidRDefault="00000000">
      <w:pPr>
        <w:pStyle w:val="Heading2"/>
      </w:pPr>
      <w:r>
        <w:t>Key Performance Indicators</w:t>
      </w:r>
    </w:p>
    <w:p w14:paraId="2878373D" w14:textId="0DF891C8" w:rsidR="0070566B" w:rsidRDefault="00000000" w:rsidP="00FC0CE4">
      <w:pPr>
        <w:spacing w:after="360" w:line="360" w:lineRule="auto"/>
        <w:jc w:val="both"/>
      </w:pPr>
      <w:r>
        <w:t>Customer Metrics: Monthly new customer target 10-20 (Year 1) scaling to 30-50 (Year 2), CAC payback under 6 months, free trial conversion above 30%, weekly active users exceeding 60%. Product Metrics: Contracts analyzed per customer over 20 annually, time-to-first-value under 24 hours, contracts flagged with risks above 40% proving value delivery. Financial Metrics: Monthly recurring revenue growth 15-25% in early stages, net revenue retention above 100% through expansion, monthly churn below 2% (annual under 20%), NPS score exceeding 50. Customer Success: Average savings per customer surpassing $10,000 annually demonstrating clear ROI.</w:t>
      </w:r>
    </w:p>
    <w:sectPr w:rsidR="0070566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BA287D"/>
    <w:multiLevelType w:val="hybridMultilevel"/>
    <w:tmpl w:val="DF8EEE06"/>
    <w:lvl w:ilvl="0" w:tplc="E1BECDA2">
      <w:start w:val="1"/>
      <w:numFmt w:val="bullet"/>
      <w:lvlText w:val="●"/>
      <w:lvlJc w:val="left"/>
      <w:pPr>
        <w:ind w:left="720" w:hanging="360"/>
      </w:pPr>
    </w:lvl>
    <w:lvl w:ilvl="1" w:tplc="6E7E348A">
      <w:start w:val="1"/>
      <w:numFmt w:val="bullet"/>
      <w:lvlText w:val="○"/>
      <w:lvlJc w:val="left"/>
      <w:pPr>
        <w:ind w:left="1440" w:hanging="360"/>
      </w:pPr>
    </w:lvl>
    <w:lvl w:ilvl="2" w:tplc="F7202E6E">
      <w:start w:val="1"/>
      <w:numFmt w:val="bullet"/>
      <w:lvlText w:val="■"/>
      <w:lvlJc w:val="left"/>
      <w:pPr>
        <w:ind w:left="2160" w:hanging="360"/>
      </w:pPr>
    </w:lvl>
    <w:lvl w:ilvl="3" w:tplc="987A042C">
      <w:start w:val="1"/>
      <w:numFmt w:val="bullet"/>
      <w:lvlText w:val="●"/>
      <w:lvlJc w:val="left"/>
      <w:pPr>
        <w:ind w:left="2880" w:hanging="360"/>
      </w:pPr>
    </w:lvl>
    <w:lvl w:ilvl="4" w:tplc="5E8809A6">
      <w:start w:val="1"/>
      <w:numFmt w:val="bullet"/>
      <w:lvlText w:val="○"/>
      <w:lvlJc w:val="left"/>
      <w:pPr>
        <w:ind w:left="3600" w:hanging="360"/>
      </w:pPr>
    </w:lvl>
    <w:lvl w:ilvl="5" w:tplc="98DC977E">
      <w:start w:val="1"/>
      <w:numFmt w:val="bullet"/>
      <w:lvlText w:val="■"/>
      <w:lvlJc w:val="left"/>
      <w:pPr>
        <w:ind w:left="4320" w:hanging="360"/>
      </w:pPr>
    </w:lvl>
    <w:lvl w:ilvl="6" w:tplc="61CAFADE">
      <w:start w:val="1"/>
      <w:numFmt w:val="bullet"/>
      <w:lvlText w:val="●"/>
      <w:lvlJc w:val="left"/>
      <w:pPr>
        <w:ind w:left="5040" w:hanging="360"/>
      </w:pPr>
    </w:lvl>
    <w:lvl w:ilvl="7" w:tplc="C2CE0F6E">
      <w:start w:val="1"/>
      <w:numFmt w:val="bullet"/>
      <w:lvlText w:val="●"/>
      <w:lvlJc w:val="left"/>
      <w:pPr>
        <w:ind w:left="5760" w:hanging="360"/>
      </w:pPr>
    </w:lvl>
    <w:lvl w:ilvl="8" w:tplc="3E966422">
      <w:start w:val="1"/>
      <w:numFmt w:val="bullet"/>
      <w:lvlText w:val="●"/>
      <w:lvlJc w:val="left"/>
      <w:pPr>
        <w:ind w:left="6480" w:hanging="360"/>
      </w:pPr>
    </w:lvl>
  </w:abstractNum>
  <w:num w:numId="1" w16cid:durableId="18274749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66B"/>
    <w:rsid w:val="0050311B"/>
    <w:rsid w:val="0070566B"/>
    <w:rsid w:val="00FC0C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FEA6D"/>
  <w15:docId w15:val="{F5A276D1-914F-45BB-91CD-5073001DB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8"/>
      <w:sz w:val="32"/>
      <w:szCs w:val="32"/>
    </w:rPr>
  </w:style>
  <w:style w:type="paragraph" w:styleId="Heading2">
    <w:name w:val="heading 2"/>
    <w:uiPriority w:val="9"/>
    <w:unhideWhenUsed/>
    <w:qFormat/>
    <w:pPr>
      <w:spacing w:before="200" w:after="100"/>
      <w:outlineLvl w:val="1"/>
    </w:pPr>
    <w:rPr>
      <w:b/>
      <w:bCs/>
      <w:color w:val="2E5C8A"/>
      <w:sz w:val="28"/>
      <w:szCs w:val="28"/>
    </w:rPr>
  </w:style>
  <w:style w:type="paragraph" w:styleId="Heading3">
    <w:name w:val="heading 3"/>
    <w:uiPriority w:val="9"/>
    <w:unhideWhenUsed/>
    <w:qFormat/>
    <w:pPr>
      <w:spacing w:before="160" w:after="80"/>
      <w:outlineLvl w:val="2"/>
    </w:pPr>
    <w:rPr>
      <w:b/>
      <w:bCs/>
      <w:color w:val="4472C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2215</Words>
  <Characters>12632</Characters>
  <Application>Microsoft Office Word</Application>
  <DocSecurity>0</DocSecurity>
  <Lines>105</Lines>
  <Paragraphs>29</Paragraphs>
  <ScaleCrop>false</ScaleCrop>
  <Company/>
  <LinksUpToDate>false</LinksUpToDate>
  <CharactersWithSpaces>14818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Ahmad Ghaffar</cp:lastModifiedBy>
  <cp:revision>2</cp:revision>
  <dcterms:created xsi:type="dcterms:W3CDTF">2026-05-05T08:24:00Z</dcterms:created>
  <dcterms:modified xsi:type="dcterms:W3CDTF">2026-05-05T08:49:00Z</dcterms:modified>
</cp:coreProperties>
</file>