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D04D5">
      <w:pPr>
        <w:pStyle w:val="2"/>
        <w:ind w:firstLine="720" w:firstLineChars="0"/>
        <w:jc w:val="center"/>
        <w:rPr>
          <w:rFonts w:hint="default" w:ascii="Arial" w:hAnsi="Arial" w:cs="Arial"/>
          <w:b/>
          <w:bCs/>
          <w:color w:val="auto"/>
          <w:sz w:val="52"/>
          <w:szCs w:val="52"/>
        </w:rPr>
      </w:pPr>
    </w:p>
    <w:p w14:paraId="48E10A78">
      <w:pPr>
        <w:pStyle w:val="2"/>
        <w:ind w:firstLine="720" w:firstLineChars="0"/>
        <w:jc w:val="center"/>
        <w:rPr>
          <w:rFonts w:hint="default" w:ascii="Arial" w:hAnsi="Arial" w:cs="Arial"/>
          <w:b/>
          <w:bCs/>
          <w:color w:val="auto"/>
          <w:sz w:val="52"/>
          <w:szCs w:val="52"/>
          <w:lang w:val="en-US"/>
        </w:rPr>
      </w:pPr>
      <w:r>
        <w:rPr>
          <w:rFonts w:hint="default" w:ascii="Arial" w:hAnsi="Arial" w:cs="Arial"/>
          <w:b/>
          <w:bCs/>
          <w:color w:val="auto"/>
          <w:sz w:val="52"/>
          <w:szCs w:val="52"/>
          <w:lang w:val="en-US"/>
        </w:rPr>
        <w:drawing>
          <wp:inline distT="0" distB="0" distL="114300" distR="114300">
            <wp:extent cx="2143125" cy="2143125"/>
            <wp:effectExtent l="0" t="0" r="5715" b="0"/>
            <wp:docPr id="1" name="Picture 1" descr="iiui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iui_png"/>
                    <pic:cNvPicPr>
                      <a:picLocks noChangeAspect="1"/>
                    </pic:cNvPicPr>
                  </pic:nvPicPr>
                  <pic:blipFill>
                    <a:blip r:embed="rId5"/>
                    <a:stretch>
                      <a:fillRect/>
                    </a:stretch>
                  </pic:blipFill>
                  <pic:spPr>
                    <a:xfrm>
                      <a:off x="0" y="0"/>
                      <a:ext cx="2143125" cy="2143125"/>
                    </a:xfrm>
                    <a:prstGeom prst="rect">
                      <a:avLst/>
                    </a:prstGeom>
                  </pic:spPr>
                </pic:pic>
              </a:graphicData>
            </a:graphic>
          </wp:inline>
        </w:drawing>
      </w:r>
      <w:bookmarkStart w:id="5" w:name="_GoBack"/>
      <w:bookmarkEnd w:id="5"/>
    </w:p>
    <w:p w14:paraId="63A2CCD2">
      <w:pPr>
        <w:pStyle w:val="2"/>
        <w:ind w:firstLine="720" w:firstLineChars="0"/>
        <w:jc w:val="center"/>
        <w:rPr>
          <w:rFonts w:hint="default" w:ascii="Arial" w:hAnsi="Arial" w:cs="Arial"/>
          <w:b/>
          <w:bCs/>
          <w:color w:val="auto"/>
          <w:sz w:val="52"/>
          <w:szCs w:val="52"/>
        </w:rPr>
      </w:pPr>
      <w:r>
        <w:rPr>
          <w:rFonts w:hint="default" w:ascii="Arial" w:hAnsi="Arial" w:cs="Arial"/>
          <w:b/>
          <w:bCs/>
          <w:color w:val="auto"/>
          <w:sz w:val="52"/>
          <w:szCs w:val="52"/>
        </w:rPr>
        <w:t>Capital One Data Breach (2019) Report</w:t>
      </w:r>
    </w:p>
    <w:p w14:paraId="5C77F7CC">
      <w:pPr>
        <w:pStyle w:val="23"/>
        <w:rPr>
          <w:rFonts w:hint="default" w:ascii="Arial" w:hAnsi="Arial" w:cs="Arial"/>
          <w:b/>
          <w:bCs/>
          <w:color w:val="auto"/>
        </w:rPr>
      </w:pPr>
    </w:p>
    <w:p w14:paraId="5884A962">
      <w:pPr>
        <w:pStyle w:val="3"/>
        <w:rPr>
          <w:rFonts w:hint="default" w:ascii="Arial" w:hAnsi="Arial" w:cs="Arial"/>
          <w:b/>
          <w:bCs/>
          <w:color w:val="auto"/>
        </w:rPr>
      </w:pPr>
    </w:p>
    <w:p w14:paraId="0E6536EE">
      <w:pPr>
        <w:pStyle w:val="3"/>
        <w:rPr>
          <w:rFonts w:hint="default" w:ascii="Arial" w:hAnsi="Arial" w:cs="Arial"/>
          <w:b/>
          <w:bCs/>
          <w:color w:val="auto"/>
        </w:rPr>
      </w:pPr>
    </w:p>
    <w:p w14:paraId="06E8F465">
      <w:pPr>
        <w:pStyle w:val="23"/>
        <w:jc w:val="center"/>
        <w:rPr>
          <w:rFonts w:hint="default" w:ascii="Arial" w:hAnsi="Arial" w:cs="Arial"/>
          <w:b w:val="0"/>
          <w:bCs w:val="0"/>
          <w:color w:val="auto"/>
          <w:sz w:val="40"/>
          <w:szCs w:val="40"/>
        </w:rPr>
      </w:pPr>
    </w:p>
    <w:p w14:paraId="2FBC3121">
      <w:pPr>
        <w:pStyle w:val="23"/>
        <w:jc w:val="both"/>
        <w:rPr>
          <w:rFonts w:hint="default" w:ascii="Arial" w:hAnsi="Arial" w:cs="Arial"/>
          <w:b w:val="0"/>
          <w:bCs w:val="0"/>
          <w:color w:val="auto"/>
          <w:sz w:val="40"/>
          <w:szCs w:val="40"/>
        </w:rPr>
      </w:pPr>
      <w:r>
        <w:rPr>
          <w:rFonts w:hint="default" w:ascii="Arial" w:hAnsi="Arial" w:cs="Arial"/>
          <w:b w:val="0"/>
          <w:bCs w:val="0"/>
          <w:color w:val="auto"/>
          <w:sz w:val="40"/>
          <w:szCs w:val="40"/>
          <w:lang w:val="en-US"/>
        </w:rPr>
        <w:t xml:space="preserve">Name: </w:t>
      </w:r>
      <w:r>
        <w:rPr>
          <w:rFonts w:hint="default" w:ascii="Arial" w:hAnsi="Arial" w:cs="Arial"/>
          <w:b w:val="0"/>
          <w:bCs w:val="0"/>
          <w:color w:val="auto"/>
          <w:sz w:val="40"/>
          <w:szCs w:val="40"/>
        </w:rPr>
        <w:t>M</w:t>
      </w:r>
      <w:r>
        <w:rPr>
          <w:rFonts w:hint="default" w:ascii="Arial" w:hAnsi="Arial" w:cs="Arial"/>
          <w:b w:val="0"/>
          <w:bCs w:val="0"/>
          <w:color w:val="auto"/>
          <w:sz w:val="40"/>
          <w:szCs w:val="40"/>
          <w:lang w:val="en-US"/>
        </w:rPr>
        <w:t>.</w:t>
      </w:r>
      <w:r>
        <w:rPr>
          <w:rFonts w:hint="default" w:ascii="Arial" w:hAnsi="Arial" w:cs="Arial"/>
          <w:b w:val="0"/>
          <w:bCs w:val="0"/>
          <w:color w:val="auto"/>
          <w:sz w:val="40"/>
          <w:szCs w:val="40"/>
        </w:rPr>
        <w:t xml:space="preserve"> Abubakar</w:t>
      </w:r>
    </w:p>
    <w:p w14:paraId="3C3CF3AD">
      <w:pPr>
        <w:pStyle w:val="23"/>
        <w:jc w:val="both"/>
        <w:rPr>
          <w:rFonts w:hint="default" w:ascii="Arial" w:hAnsi="Arial" w:cs="Arial"/>
          <w:b w:val="0"/>
          <w:bCs w:val="0"/>
          <w:color w:val="auto"/>
          <w:sz w:val="40"/>
          <w:szCs w:val="40"/>
          <w:lang w:val="en-US"/>
        </w:rPr>
      </w:pPr>
      <w:r>
        <w:rPr>
          <w:rFonts w:hint="default" w:ascii="Arial" w:hAnsi="Arial" w:cs="Arial"/>
          <w:b w:val="0"/>
          <w:bCs w:val="0"/>
          <w:color w:val="auto"/>
          <w:sz w:val="40"/>
          <w:szCs w:val="40"/>
        </w:rPr>
        <w:t xml:space="preserve">Reg No: </w:t>
      </w:r>
      <w:r>
        <w:rPr>
          <w:rFonts w:hint="default" w:ascii="Arial" w:hAnsi="Arial" w:cs="Arial"/>
          <w:b w:val="0"/>
          <w:bCs w:val="0"/>
          <w:color w:val="auto"/>
          <w:sz w:val="40"/>
          <w:szCs w:val="40"/>
          <w:lang w:val="en-US"/>
        </w:rPr>
        <w:t>4992</w:t>
      </w:r>
      <w:r>
        <w:rPr>
          <w:rFonts w:hint="default" w:ascii="Arial" w:hAnsi="Arial" w:cs="Arial"/>
          <w:b w:val="0"/>
          <w:bCs w:val="0"/>
          <w:color w:val="auto"/>
          <w:sz w:val="40"/>
          <w:szCs w:val="40"/>
        </w:rPr>
        <w:t>-FOC-</w:t>
      </w:r>
      <w:r>
        <w:rPr>
          <w:rFonts w:hint="default" w:ascii="Arial" w:hAnsi="Arial" w:cs="Arial"/>
          <w:b w:val="0"/>
          <w:bCs w:val="0"/>
          <w:color w:val="auto"/>
          <w:sz w:val="40"/>
          <w:szCs w:val="40"/>
          <w:lang w:val="en-US"/>
        </w:rPr>
        <w:t>BSCS/F23</w:t>
      </w:r>
    </w:p>
    <w:p w14:paraId="10B1E301">
      <w:pPr>
        <w:pStyle w:val="23"/>
        <w:jc w:val="both"/>
        <w:rPr>
          <w:rFonts w:hint="default" w:ascii="Arial" w:hAnsi="Arial" w:cs="Arial"/>
          <w:b w:val="0"/>
          <w:bCs w:val="0"/>
          <w:color w:val="auto"/>
          <w:sz w:val="40"/>
          <w:szCs w:val="40"/>
        </w:rPr>
      </w:pPr>
      <w:r>
        <w:rPr>
          <w:rFonts w:hint="default" w:ascii="Arial" w:hAnsi="Arial" w:cs="Arial"/>
          <w:b w:val="0"/>
          <w:bCs w:val="0"/>
          <w:color w:val="auto"/>
          <w:sz w:val="40"/>
          <w:szCs w:val="40"/>
        </w:rPr>
        <w:t>Course: Information Security</w:t>
      </w:r>
    </w:p>
    <w:p w14:paraId="639B8A94">
      <w:pPr>
        <w:pStyle w:val="23"/>
        <w:jc w:val="both"/>
        <w:rPr>
          <w:rFonts w:hint="default" w:ascii="Arial" w:hAnsi="Arial" w:cs="Arial"/>
          <w:b w:val="0"/>
          <w:bCs w:val="0"/>
          <w:color w:val="auto"/>
          <w:sz w:val="40"/>
          <w:szCs w:val="40"/>
          <w:lang w:val="en-US"/>
        </w:rPr>
      </w:pPr>
      <w:r>
        <w:rPr>
          <w:rFonts w:hint="default" w:ascii="Arial" w:hAnsi="Arial" w:cs="Arial"/>
          <w:b w:val="0"/>
          <w:bCs w:val="0"/>
          <w:color w:val="auto"/>
          <w:sz w:val="40"/>
          <w:szCs w:val="40"/>
          <w:lang w:val="en-US"/>
        </w:rPr>
        <w:t>Section: B</w:t>
      </w:r>
    </w:p>
    <w:p w14:paraId="2A87A1DB">
      <w:pPr>
        <w:pStyle w:val="23"/>
        <w:jc w:val="both"/>
        <w:rPr>
          <w:rFonts w:hint="default" w:ascii="Arial" w:hAnsi="Arial" w:cs="Arial"/>
          <w:b w:val="0"/>
          <w:bCs w:val="0"/>
          <w:color w:val="auto"/>
          <w:sz w:val="40"/>
          <w:szCs w:val="40"/>
        </w:rPr>
      </w:pPr>
      <w:r>
        <w:rPr>
          <w:rFonts w:hint="default" w:ascii="Arial" w:hAnsi="Arial" w:cs="Arial"/>
          <w:b w:val="0"/>
          <w:bCs w:val="0"/>
          <w:color w:val="auto"/>
          <w:sz w:val="40"/>
          <w:szCs w:val="40"/>
        </w:rPr>
        <w:t>Instructor: Dr. Zahid Mehmood</w:t>
      </w:r>
    </w:p>
    <w:p w14:paraId="4CBBEFEB">
      <w:pPr>
        <w:pStyle w:val="23"/>
        <w:jc w:val="both"/>
        <w:rPr>
          <w:rFonts w:hint="default" w:ascii="Arial" w:hAnsi="Arial" w:cs="Arial"/>
          <w:b w:val="0"/>
          <w:bCs w:val="0"/>
          <w:color w:val="auto"/>
          <w:sz w:val="40"/>
          <w:szCs w:val="40"/>
        </w:rPr>
      </w:pPr>
      <w:r>
        <w:rPr>
          <w:rFonts w:hint="default" w:ascii="Arial" w:hAnsi="Arial" w:cs="Arial"/>
          <w:b w:val="0"/>
          <w:bCs w:val="0"/>
          <w:color w:val="auto"/>
          <w:sz w:val="40"/>
          <w:szCs w:val="40"/>
        </w:rPr>
        <w:t>Assignment 2</w:t>
      </w:r>
      <w:bookmarkStart w:id="0" w:name="cause-of-the-breach"/>
      <w:bookmarkStart w:id="1" w:name="capital-one-data-breach-2019-report"/>
    </w:p>
    <w:p w14:paraId="4E1B85E5">
      <w:pPr>
        <w:pStyle w:val="23"/>
        <w:jc w:val="both"/>
        <w:rPr>
          <w:rFonts w:hint="default" w:ascii="Arial" w:hAnsi="Arial" w:cs="Arial"/>
          <w:b w:val="0"/>
          <w:bCs w:val="0"/>
          <w:color w:val="auto"/>
          <w:sz w:val="40"/>
          <w:szCs w:val="40"/>
        </w:rPr>
      </w:pPr>
    </w:p>
    <w:p w14:paraId="3794EF42">
      <w:pPr>
        <w:pStyle w:val="23"/>
        <w:jc w:val="both"/>
        <w:rPr>
          <w:rFonts w:hint="default" w:ascii="Arial" w:hAnsi="Arial" w:cs="Arial"/>
          <w:color w:val="auto"/>
        </w:rPr>
      </w:pPr>
      <w:r>
        <w:rPr>
          <w:rFonts w:hint="default" w:ascii="Arial" w:hAnsi="Arial" w:cs="Arial"/>
          <w:color w:val="auto"/>
        </w:rPr>
        <w:br w:type="page"/>
      </w:r>
      <w:r>
        <w:rPr>
          <w:rFonts w:hint="default" w:ascii="Arial" w:hAnsi="Arial" w:cs="Arial"/>
          <w:color w:val="auto"/>
        </w:rPr>
        <w:t>Cause of the Breach</w:t>
      </w:r>
    </w:p>
    <w:p w14:paraId="7E7ED287">
      <w:pPr>
        <w:pStyle w:val="23"/>
        <w:rPr>
          <w:rFonts w:hint="default" w:ascii="Arial" w:hAnsi="Arial" w:cs="Arial"/>
          <w:color w:val="auto"/>
        </w:rPr>
      </w:pPr>
      <w:r>
        <w:rPr>
          <w:rFonts w:hint="default" w:ascii="Arial" w:hAnsi="Arial" w:cs="Arial"/>
          <w:color w:val="auto"/>
        </w:rPr>
        <w:t>In July 2019, Capital One, one of the largest banking and credit card companies in the United States, experienced a major data breach that exposed the personal information of approximately 100 million individuals in the U.S. and 6 million in Canada. The breach occurred between March 22 and March 23, 2019, but was discovered and publicly disclosed on July 19, 2019.</w:t>
      </w:r>
    </w:p>
    <w:p w14:paraId="27129E71">
      <w:pPr>
        <w:pStyle w:val="3"/>
        <w:rPr>
          <w:rFonts w:hint="default" w:ascii="Arial" w:hAnsi="Arial" w:cs="Arial"/>
          <w:color w:val="auto"/>
        </w:rPr>
      </w:pPr>
      <w:r>
        <w:rPr>
          <w:rFonts w:hint="default" w:ascii="Arial" w:hAnsi="Arial" w:cs="Arial"/>
          <w:color w:val="auto"/>
        </w:rPr>
        <w:t>The primary cause was a misconfiguration in Capital One’s cloud environment, specifically involving a web application firewall (WAF) hosted on Amazon Web Services (AWS). A vulnerability known as Server-Side Request Forgery (SSRF) allowed the attacker to trick the firewall into making requests to the AWS instance metadata service. This service provided temporary security credentials that the attacker then used to access AWS resources, including S3 storage buckets containing sensitive customer data.</w:t>
      </w:r>
    </w:p>
    <w:p w14:paraId="60FF3540">
      <w:pPr>
        <w:pStyle w:val="3"/>
        <w:rPr>
          <w:rFonts w:hint="default" w:ascii="Arial" w:hAnsi="Arial" w:cs="Arial"/>
          <w:color w:val="auto"/>
        </w:rPr>
      </w:pPr>
      <w:r>
        <w:rPr>
          <w:rFonts w:hint="default" w:ascii="Arial" w:hAnsi="Arial" w:cs="Arial"/>
          <w:color w:val="auto"/>
        </w:rPr>
        <w:t>The combination of the firewall’s configuration mistake and excessive permissions granted to associated cloud roles created a pathway for unauthorized access. A former AWS employee, identified as Paige A. Thompson, is alleged to have exploited this weakness to infiltrate Capital One’s cloud infrastructure.</w:t>
      </w:r>
    </w:p>
    <w:bookmarkEnd w:id="0"/>
    <w:p w14:paraId="545CF57C">
      <w:pPr>
        <w:pStyle w:val="4"/>
        <w:rPr>
          <w:rFonts w:hint="default" w:ascii="Arial" w:hAnsi="Arial" w:cs="Arial"/>
          <w:color w:val="auto"/>
        </w:rPr>
      </w:pPr>
      <w:bookmarkStart w:id="2" w:name="impact-of-the-breach"/>
      <w:r>
        <w:rPr>
          <w:rFonts w:hint="default" w:ascii="Arial" w:hAnsi="Arial" w:cs="Arial"/>
          <w:color w:val="auto"/>
        </w:rPr>
        <w:t>Impact of the Breach</w:t>
      </w:r>
    </w:p>
    <w:p w14:paraId="63AF9628">
      <w:pPr>
        <w:pStyle w:val="23"/>
        <w:rPr>
          <w:rFonts w:hint="default" w:ascii="Arial" w:hAnsi="Arial" w:cs="Arial"/>
          <w:color w:val="auto"/>
        </w:rPr>
      </w:pPr>
      <w:r>
        <w:rPr>
          <w:rFonts w:hint="default" w:ascii="Arial" w:hAnsi="Arial" w:cs="Arial"/>
          <w:color w:val="auto"/>
        </w:rPr>
        <w:t>The impact of the Capital One breach was substantial, both in terms of data exposure and financial consequences. Approximately 100 million U.S. customers and 6 million Canadian customers had personal data accessed, including names, addresses, phone numbers, email addresses, dates of birth, and self-reported income. A smaller portion of more sensitive information, such as Social Security numbers and bank account numbers, was also exposed.</w:t>
      </w:r>
    </w:p>
    <w:p w14:paraId="3EACBE2A">
      <w:pPr>
        <w:pStyle w:val="3"/>
        <w:rPr>
          <w:rFonts w:hint="default" w:ascii="Arial" w:hAnsi="Arial" w:cs="Arial"/>
          <w:color w:val="auto"/>
        </w:rPr>
      </w:pPr>
      <w:r>
        <w:rPr>
          <w:rFonts w:hint="default" w:ascii="Arial" w:hAnsi="Arial" w:cs="Arial"/>
          <w:color w:val="auto"/>
        </w:rPr>
        <w:t>The breach eroded customer trust and forced Capital One to invest heavily in remediation, including notifying affected individuals, offering credit monitoring services, and enhancing security measures. Financial penalties and settlements related to the incident have been significant, with estimates of remediation costs and legal settlements exceeding hundreds of millions of dollars.</w:t>
      </w:r>
    </w:p>
    <w:p w14:paraId="0ED16DD0">
      <w:pPr>
        <w:pStyle w:val="3"/>
        <w:rPr>
          <w:rFonts w:hint="default" w:ascii="Arial" w:hAnsi="Arial" w:cs="Arial"/>
          <w:color w:val="auto"/>
        </w:rPr>
      </w:pPr>
      <w:r>
        <w:rPr>
          <w:rFonts w:hint="default" w:ascii="Arial" w:hAnsi="Arial" w:cs="Arial"/>
          <w:color w:val="auto"/>
        </w:rPr>
        <w:t>Additionally, the breach served as a high-profile warning about cloud security risks, emphasizing that cloud infrastructure misconfigurations can be as damaging as traditional network attacks.</w:t>
      </w:r>
    </w:p>
    <w:bookmarkEnd w:id="2"/>
    <w:p w14:paraId="51CE6502">
      <w:pPr>
        <w:pStyle w:val="4"/>
        <w:rPr>
          <w:rFonts w:hint="default" w:ascii="Arial" w:hAnsi="Arial" w:cs="Arial"/>
          <w:color w:val="auto"/>
        </w:rPr>
      </w:pPr>
      <w:bookmarkStart w:id="3" w:name="how-it-could-have-been-prevented"/>
      <w:r>
        <w:rPr>
          <w:rFonts w:hint="default" w:ascii="Arial" w:hAnsi="Arial" w:cs="Arial"/>
          <w:color w:val="auto"/>
        </w:rPr>
        <w:t>How It Could Have Been Prevented</w:t>
      </w:r>
    </w:p>
    <w:p w14:paraId="13DD44E0">
      <w:pPr>
        <w:pStyle w:val="23"/>
        <w:rPr>
          <w:rFonts w:hint="default" w:ascii="Arial" w:hAnsi="Arial" w:cs="Arial"/>
          <w:color w:val="auto"/>
        </w:rPr>
      </w:pPr>
      <w:r>
        <w:rPr>
          <w:rFonts w:hint="default" w:ascii="Arial" w:hAnsi="Arial" w:cs="Arial"/>
          <w:color w:val="auto"/>
        </w:rPr>
        <w:t>While no system can be made completely impervious, several preventive measures could have significantly reduced the likelihood or severity of the breach:</w:t>
      </w:r>
    </w:p>
    <w:p w14:paraId="6A1D9AF5">
      <w:pPr>
        <w:pStyle w:val="24"/>
        <w:numPr>
          <w:ilvl w:val="0"/>
          <w:numId w:val="1"/>
        </w:numPr>
        <w:rPr>
          <w:rFonts w:hint="default" w:ascii="Arial" w:hAnsi="Arial" w:cs="Arial"/>
          <w:color w:val="auto"/>
        </w:rPr>
      </w:pPr>
      <w:r>
        <w:rPr>
          <w:rFonts w:hint="default" w:ascii="Arial" w:hAnsi="Arial" w:cs="Arial"/>
          <w:color w:val="auto"/>
        </w:rPr>
        <w:t>Strict Firewall and WAF Configurations: Ensuring that the web application firewall was correctly configured to reject malicious requests would have blocked the SSRF exploitation path.</w:t>
      </w:r>
    </w:p>
    <w:p w14:paraId="15E50B59">
      <w:pPr>
        <w:pStyle w:val="24"/>
        <w:numPr>
          <w:ilvl w:val="0"/>
          <w:numId w:val="1"/>
        </w:numPr>
        <w:rPr>
          <w:rFonts w:hint="default" w:ascii="Arial" w:hAnsi="Arial" w:cs="Arial"/>
          <w:color w:val="auto"/>
        </w:rPr>
      </w:pPr>
      <w:r>
        <w:rPr>
          <w:rFonts w:hint="default" w:ascii="Arial" w:hAnsi="Arial" w:cs="Arial"/>
          <w:color w:val="auto"/>
        </w:rPr>
        <w:t>Least Privilege Access Controls: Applying the principle of least privilege would ensure that cloud roles and services had only the minimum permissions necessary to perform their functions, limiting access to sensitive S3 storage buckets.</w:t>
      </w:r>
    </w:p>
    <w:p w14:paraId="1A37E693">
      <w:pPr>
        <w:pStyle w:val="24"/>
        <w:numPr>
          <w:ilvl w:val="0"/>
          <w:numId w:val="1"/>
        </w:numPr>
        <w:rPr>
          <w:rFonts w:hint="default" w:ascii="Arial" w:hAnsi="Arial" w:cs="Arial"/>
          <w:color w:val="auto"/>
        </w:rPr>
      </w:pPr>
      <w:r>
        <w:rPr>
          <w:rFonts w:hint="default" w:ascii="Arial" w:hAnsi="Arial" w:cs="Arial"/>
          <w:color w:val="auto"/>
        </w:rPr>
        <w:t>Enhanced IAM and Metadata Protections: AWS later introduced improved protections like IMDSv2 (Instance Metadata Service Version 2), which would make it harder for attackers to obtain credentials via SSRF.</w:t>
      </w:r>
    </w:p>
    <w:p w14:paraId="0263A2A7">
      <w:pPr>
        <w:pStyle w:val="24"/>
        <w:numPr>
          <w:ilvl w:val="0"/>
          <w:numId w:val="1"/>
        </w:numPr>
        <w:rPr>
          <w:rFonts w:hint="default" w:ascii="Arial" w:hAnsi="Arial" w:cs="Arial"/>
          <w:color w:val="auto"/>
        </w:rPr>
      </w:pPr>
      <w:r>
        <w:rPr>
          <w:rFonts w:hint="default" w:ascii="Arial" w:hAnsi="Arial" w:cs="Arial"/>
          <w:color w:val="auto"/>
        </w:rPr>
        <w:t>Regular Security Audits and Monitoring: Frequent auditing of cloud configurations, role permissions, and firewall rules could have detected the misconfiguration earlier. Automated monitoring and anomaly detection could have flagged unusual requests from external IP addresses.</w:t>
      </w:r>
    </w:p>
    <w:p w14:paraId="482AF778">
      <w:pPr>
        <w:pStyle w:val="24"/>
        <w:numPr>
          <w:ilvl w:val="0"/>
          <w:numId w:val="1"/>
        </w:numPr>
        <w:rPr>
          <w:rFonts w:hint="default" w:ascii="Arial" w:hAnsi="Arial" w:cs="Arial"/>
          <w:color w:val="auto"/>
        </w:rPr>
      </w:pPr>
      <w:r>
        <w:rPr>
          <w:rFonts w:hint="default" w:ascii="Arial" w:hAnsi="Arial" w:cs="Arial"/>
          <w:color w:val="auto"/>
        </w:rPr>
        <w:t>Penetration Testing and Cloud Security Best Practices: Engaging external security assessments and adopting cloud security best practices would have identified the flawed firewall behavior and allowed fixes before exploitation.</w:t>
      </w:r>
    </w:p>
    <w:bookmarkEnd w:id="3"/>
    <w:p w14:paraId="6E00B96B">
      <w:pPr>
        <w:pStyle w:val="4"/>
        <w:rPr>
          <w:rFonts w:hint="default" w:ascii="Arial" w:hAnsi="Arial" w:cs="Arial"/>
          <w:color w:val="auto"/>
        </w:rPr>
      </w:pPr>
      <w:bookmarkStart w:id="4" w:name="conclusion"/>
      <w:r>
        <w:rPr>
          <w:rFonts w:hint="default" w:ascii="Arial" w:hAnsi="Arial" w:cs="Arial"/>
          <w:color w:val="auto"/>
        </w:rPr>
        <w:t>Conclusion</w:t>
      </w:r>
    </w:p>
    <w:p w14:paraId="3B49555C">
      <w:pPr>
        <w:pStyle w:val="23"/>
        <w:rPr>
          <w:rFonts w:hint="default" w:ascii="Arial" w:hAnsi="Arial" w:cs="Arial"/>
          <w:color w:val="auto"/>
        </w:rPr>
      </w:pPr>
      <w:r>
        <w:rPr>
          <w:rFonts w:hint="default" w:ascii="Arial" w:hAnsi="Arial" w:cs="Arial"/>
          <w:color w:val="auto"/>
        </w:rPr>
        <w:t>The Capital One breach of 2019 highlights how even well-resourced organizations can fall victim to significant cybersecurity incidents when fundamental cloud security controls are insufficient. A misconfigured firewall, combined with overly permissive cloud roles, enabled a single actor to access massive amounts of sensitive customer data. Implementing stronger firewall configurations, least-privilege access, and proactive cloud security measures could have prevented or mitigated the breach.</w:t>
      </w:r>
    </w:p>
    <w:bookmarkEnd w:id="1"/>
    <w:bookmarkEnd w:id="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194049D2"/>
    <w:rsid w:val="5A2F59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591</Words>
  <Characters>3640</Characters>
  <Lines>12</Lines>
  <Paragraphs>8</Paragraphs>
  <TotalTime>4</TotalTime>
  <ScaleCrop>false</ScaleCrop>
  <LinksUpToDate>false</LinksUpToDate>
  <CharactersWithSpaces>4207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2026-03-31T17:09:00Z</dcterms:created>
  <dc:creator>HEC</dc:creator>
  <cp:lastModifiedBy>Muhammad Abubakar</cp:lastModifiedBy>
  <dcterms:modified xsi:type="dcterms:W3CDTF">2026-05-12T20:43:32Z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677B1E83E3294AA8866217BC6E844FAE_12</vt:lpwstr>
  </property>
  <property fmtid="{D5CDD505-2E9C-101B-9397-08002B2CF9AE}" pid="4" name="KSOTemplateDocerSaveRecord">
    <vt:lpwstr>eyJoZGlkIjoiYzYyNDA0ZTQxYTc2OTc2NTU5ZjYzZWExODYzYmI3NWIiLCJ1c2VySWQiOiI4ODEzNzYwMDg1MjQ4In0=</vt:lpwstr>
  </property>
</Properties>
</file>