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Association</w:t>
      </w:r>
      <w:r>
        <w:t xml:space="preserve"> </w:t>
      </w:r>
      <w:r>
        <w:t xml:space="preserve">between</w:t>
      </w:r>
      <w:r>
        <w:t xml:space="preserve"> </w:t>
      </w:r>
      <w:r>
        <w:t xml:space="preserve">Food</w:t>
      </w:r>
      <w:r>
        <w:t xml:space="preserve"> </w:t>
      </w:r>
      <w:r>
        <w:t xml:space="preserve">Insecurity</w:t>
      </w:r>
      <w:r>
        <w:t xml:space="preserve"> </w:t>
      </w:r>
      <w:r>
        <w:t xml:space="preserve">and</w:t>
      </w:r>
      <w:r>
        <w:t xml:space="preserve"> </w:t>
      </w:r>
      <w:r>
        <w:t xml:space="preserve">COVID-19</w:t>
      </w:r>
      <w:r>
        <w:t xml:space="preserve"> </w:t>
      </w:r>
      <w:r>
        <w:t xml:space="preserve">Cases:</w:t>
      </w:r>
      <w:r>
        <w:t xml:space="preserve"> </w:t>
      </w:r>
      <w:r>
        <w:t xml:space="preserve">Evidence</w:t>
      </w:r>
      <w:r>
        <w:t xml:space="preserve"> </w:t>
      </w:r>
      <w:r>
        <w:t xml:space="preserve">from</w:t>
      </w:r>
      <w:r>
        <w:t xml:space="preserve"> </w:t>
      </w:r>
      <w:r>
        <w:t xml:space="preserve">Nebraska</w:t>
      </w:r>
      <w:r>
        <w:t xml:space="preserve"> </w:t>
      </w:r>
      <w:r>
        <w:t xml:space="preserve">SNAP</w:t>
      </w:r>
      <w:r>
        <w:t xml:space="preserve"> </w:t>
      </w:r>
      <w:r>
        <w:t xml:space="preserve">Policy</w:t>
      </w:r>
    </w:p>
    <w:p>
      <w:pPr>
        <w:pStyle w:val="Author"/>
      </w:pPr>
      <w:r>
        <w:t xml:space="preserve">Matthew</w:t>
      </w:r>
      <w:r>
        <w:t xml:space="preserve"> </w:t>
      </w:r>
      <w:r>
        <w:t xml:space="preserve">Lavallee,</w:t>
      </w:r>
      <w:r>
        <w:t xml:space="preserve"> </w:t>
      </w:r>
      <w:r>
        <w:t xml:space="preserve">BA;</w:t>
      </w:r>
      <w:r>
        <w:t xml:space="preserve"> </w:t>
      </w:r>
      <w:r>
        <w:t xml:space="preserve">Nadia</w:t>
      </w:r>
      <w:r>
        <w:t xml:space="preserve"> </w:t>
      </w:r>
      <w:r>
        <w:t xml:space="preserve">Abuelezam,</w:t>
      </w:r>
      <w:r>
        <w:t xml:space="preserve"> </w:t>
      </w:r>
      <w:r>
        <w:t xml:space="preserve">ScD;</w:t>
      </w:r>
    </w:p>
    <w:p>
      <w:pPr>
        <w:pStyle w:val="Date"/>
      </w:pPr>
      <w:r>
        <w:t xml:space="preserve">From</w:t>
      </w:r>
      <w:r>
        <w:t xml:space="preserve"> </w:t>
      </w:r>
      <w:r>
        <w:t xml:space="preserve">the</w:t>
      </w:r>
      <w:r>
        <w:t xml:space="preserve"> </w:t>
      </w:r>
      <w:r>
        <w:t xml:space="preserve">Connell</w:t>
      </w:r>
      <w:r>
        <w:t xml:space="preserve"> </w:t>
      </w:r>
      <w:r>
        <w:t xml:space="preserve">School</w:t>
      </w:r>
      <w:r>
        <w:t xml:space="preserve"> </w:t>
      </w:r>
      <w:r>
        <w:t xml:space="preserve">of</w:t>
      </w:r>
      <w:r>
        <w:t xml:space="preserve"> </w:t>
      </w:r>
      <w:r>
        <w:t xml:space="preserve">Nursing,</w:t>
      </w:r>
      <w:r>
        <w:t xml:space="preserve"> </w:t>
      </w:r>
      <w:r>
        <w:t xml:space="preserve">Boston</w:t>
      </w:r>
      <w:r>
        <w:t xml:space="preserve"> </w:t>
      </w:r>
      <w:r>
        <w:t xml:space="preserve">College</w:t>
      </w:r>
      <w:r>
        <w:t xml:space="preserve"> </w:t>
      </w:r>
      <w:r>
        <w:t xml:space="preserve">(Lavallee,</w:t>
      </w:r>
      <w:r>
        <w:t xml:space="preserve"> </w:t>
      </w:r>
      <w:r>
        <w:t xml:space="preserve">Abuelezam)</w:t>
      </w:r>
    </w:p>
    <w:p>
      <w:r>
        <w:br w:type="page"/>
      </w:r>
    </w:p>
    <w:bookmarkStart w:id="21" w:name="introduction"/>
    <w:p>
      <w:pPr>
        <w:pStyle w:val="Heading1"/>
      </w:pPr>
      <w:r>
        <w:t xml:space="preserve">Introduction</w:t>
      </w:r>
    </w:p>
    <w:p>
      <w:pPr>
        <w:pStyle w:val="FirstParagraph"/>
      </w:pPr>
      <w:r>
        <w:t xml:space="preserve">The importance of social determinants of health (SDOH) in improving population health and reducing health disparities has become evident among experts and policymakers</w:t>
      </w:r>
      <w:hyperlink w:anchor="ref-artiga2018">
        <w:r>
          <w:rPr>
            <w:rStyle w:val="Hyperlink"/>
            <w:vertAlign w:val="superscript"/>
          </w:rPr>
          <w:t xml:space="preserve">1</w:t>
        </w:r>
      </w:hyperlink>
      <w:r>
        <w:rPr>
          <w:vertAlign w:val="superscript"/>
        </w:rPr>
        <w:t xml:space="preserve">,</w:t>
      </w:r>
      <w:hyperlink w:anchor="X542e1e97bb94b9f413f6c6c0723387725ae7f4d">
        <w:r>
          <w:rPr>
            <w:rStyle w:val="Hyperlink"/>
            <w:vertAlign w:val="superscript"/>
          </w:rPr>
          <w:t xml:space="preserve">2</w:t>
        </w:r>
      </w:hyperlink>
      <w:r>
        <w:t xml:space="preserve">. These national priorities, and the necessity to better understand SDOH, have only been reinvigorated by the COVID-19 pandemic. Due to the immense headline numbers for COVID-19 (94.6 million recorded cases and 1.05 million reported deaths as of September 2022), and the unlikeliness for COVID-19 to be eradicated [cite], understanding how SDOH impact the prevalence and severity of the disease is crucial.</w:t>
      </w:r>
    </w:p>
    <w:p>
      <w:pPr>
        <w:pStyle w:val="BodyText"/>
      </w:pPr>
      <w:r>
        <w:t xml:space="preserve">Despite early work highlighting the pandemic’s detrimental effect on SDOH by widening long-standing disparities via disruption of social, economic, and health care systems</w:t>
      </w:r>
      <w:hyperlink w:anchor="ref-abrams2020">
        <w:r>
          <w:rPr>
            <w:rStyle w:val="Hyperlink"/>
            <w:vertAlign w:val="superscript"/>
          </w:rPr>
          <w:t xml:space="preserve">3</w:t>
        </w:r>
      </w:hyperlink>
      <w:r>
        <w:t xml:space="preserve">, lacking empirical evidence of SDOH impact on COVID-19 leaves the relationship between the two unclear. Food security has a well-documented relationship with health outcomes</w:t>
      </w:r>
      <w:hyperlink w:anchor="ref-gundersen2015">
        <w:r>
          <w:rPr>
            <w:rStyle w:val="Hyperlink"/>
            <w:vertAlign w:val="superscript"/>
          </w:rPr>
          <w:t xml:space="preserve">4</w:t>
        </w:r>
      </w:hyperlink>
      <w:r>
        <w:rPr>
          <w:vertAlign w:val="superscript"/>
        </w:rPr>
        <w:t xml:space="preserve">,</w:t>
      </w:r>
      <w:hyperlink w:anchor="ref-heflin2019a">
        <w:r>
          <w:rPr>
            <w:rStyle w:val="Hyperlink"/>
            <w:vertAlign w:val="superscript"/>
          </w:rPr>
          <w:t xml:space="preserve">5</w:t>
        </w:r>
      </w:hyperlink>
      <w:r>
        <w:t xml:space="preserve"> </w:t>
      </w:r>
      <w:r>
        <w:t xml:space="preserve">and given the increases in food insecurity during the early pandemic is of particular importance</w:t>
      </w:r>
      <w:hyperlink w:anchor="ref-schanzenbach2020">
        <w:r>
          <w:rPr>
            <w:rStyle w:val="Hyperlink"/>
            <w:vertAlign w:val="superscript"/>
          </w:rPr>
          <w:t xml:space="preserve">6</w:t>
        </w:r>
      </w:hyperlink>
      <w:r>
        <w:rPr>
          <w:vertAlign w:val="superscript"/>
        </w:rPr>
        <w:t xml:space="preserve">,</w:t>
      </w:r>
      <w:hyperlink w:anchor="ref-feedingamerica2021">
        <w:r>
          <w:rPr>
            <w:rStyle w:val="Hyperlink"/>
            <w:vertAlign w:val="superscript"/>
          </w:rPr>
          <w:t xml:space="preserve">7</w:t>
        </w:r>
      </w:hyperlink>
      <w:r>
        <w:t xml:space="preserve">.</w:t>
      </w:r>
    </w:p>
    <w:p>
      <w:pPr>
        <w:pStyle w:val="BodyText"/>
      </w:pPr>
      <w:r>
        <w:t xml:space="preserve">Supplemental Nutrition Assistance Program (SNAP) is a state-run program that distributes federal funds to low-income households for food assistance. The amount of money a household receives depends on 3 factors: 1) the cost the USDA determines a minimally costly healthy diet, 2) the income of the household, and 3) the size of the household. Namely, a household is expected to contribute 30% of its net income on food, making the difference between the max allotment and that 30% the amount of benefits a household will receive.</w:t>
      </w:r>
    </w:p>
    <w:p>
      <w:pPr>
        <w:pStyle w:val="BodyText"/>
      </w:pPr>
      <w:r>
        <w:t xml:space="preserve">The Trump and Biden administrations both passed legislation to increase the value of the allotments to combat the increases in food insecurity during the pandemic</w:t>
      </w:r>
      <w:hyperlink w:anchor="ref-lowey2020">
        <w:r>
          <w:rPr>
            <w:rStyle w:val="Hyperlink"/>
            <w:vertAlign w:val="superscript"/>
          </w:rPr>
          <w:t xml:space="preserve">8</w:t>
        </w:r>
      </w:hyperlink>
      <w:r>
        <w:rPr>
          <w:vertAlign w:val="superscript"/>
        </w:rPr>
        <w:t xml:space="preserve">,</w:t>
      </w:r>
      <w:hyperlink w:anchor="ref-cuellar2020">
        <w:r>
          <w:rPr>
            <w:rStyle w:val="Hyperlink"/>
            <w:vertAlign w:val="superscript"/>
          </w:rPr>
          <w:t xml:space="preserve">9</w:t>
        </w:r>
      </w:hyperlink>
      <w:r>
        <w:t xml:space="preserve">. These increases took two forms: 1) the calculated allotment that a household received was automatically increased to the max for the household size (emergency allotments, EA), 2) the maximum allotment was increased 15% from its previous amount</w:t>
      </w:r>
      <w:r>
        <w:rPr>
          <w:rStyle w:val="FootnoteReference"/>
        </w:rPr>
        <w:footnoteReference w:id="20"/>
      </w:r>
      <w:r>
        <w:t xml:space="preserve">. Each state was required to enroll in the EA increases monthly in order to receive benefits, creating the potential for staggered and inconsistent implementation of these increases. Nearly every state enrolled for a single consistent span but one state, Nebraska, which opted out of the EA increases for 4 months before re-enrolling. During this 4 month period all other states were enrolled in EA increases, creating a valuable natural experiment for understanding both the EA increases impact on food insecurity, and food insecurity’s impact on COVID-19 prevalence and severity.</w:t>
      </w:r>
    </w:p>
    <w:bookmarkEnd w:id="21"/>
    <w:bookmarkStart w:id="24" w:name="methods"/>
    <w:p>
      <w:pPr>
        <w:pStyle w:val="Heading1"/>
      </w:pPr>
      <w:r>
        <w:t xml:space="preserve">Methods</w:t>
      </w:r>
    </w:p>
    <w:bookmarkStart w:id="22" w:name="overview"/>
    <w:p>
      <w:pPr>
        <w:pStyle w:val="Heading2"/>
      </w:pPr>
      <w:r>
        <w:t xml:space="preserve">Overview</w:t>
      </w:r>
    </w:p>
    <w:bookmarkEnd w:id="22"/>
    <w:bookmarkStart w:id="23" w:name="data-sources"/>
    <w:p>
      <w:pPr>
        <w:pStyle w:val="Heading2"/>
      </w:pPr>
      <w:r>
        <w:t xml:space="preserve">Data Sources</w:t>
      </w:r>
    </w:p>
    <w:p>
      <w:pPr>
        <w:pStyle w:val="FirstParagraph"/>
      </w:pPr>
      <w:r>
        <w:t xml:space="preserve">We drew from two public data sources. First, we use the Household Pulse Survey to estimate state-level rates of food security, and vaccination rate by month. Second, we use the COVID Data Tracker from the Centers for Disease Control and Prevention to collect state-level information on COVID-19 prevalence.</w:t>
      </w:r>
    </w:p>
    <w:bookmarkEnd w:id="23"/>
    <w:bookmarkEnd w:id="24"/>
    <w:bookmarkStart w:id="25" w:name="results"/>
    <w:p>
      <w:pPr>
        <w:pStyle w:val="Heading1"/>
      </w:pPr>
      <w:r>
        <w:t xml:space="preserve">Results</w:t>
      </w:r>
    </w:p>
    <w:bookmarkEnd w:id="25"/>
    <w:bookmarkStart w:id="26" w:name="discussion"/>
    <w:p>
      <w:pPr>
        <w:pStyle w:val="Heading1"/>
      </w:pPr>
      <w:r>
        <w:t xml:space="preserve">Discussion</w:t>
      </w:r>
    </w:p>
    <w:bookmarkEnd w:id="26"/>
    <w:bookmarkStart w:id="27" w:name="x"/>
    <w:p>
      <w:pPr>
        <w:pStyle w:val="Heading1"/>
      </w:pPr>
      <w:r>
        <w:t xml:space="preserve">X</w:t>
      </w:r>
    </w:p>
    <w:p>
      <w:r>
        <w:br w:type="page"/>
      </w:r>
    </w:p>
    <w:bookmarkEnd w:id="27"/>
    <w:bookmarkStart w:id="46" w:name="references"/>
    <w:p>
      <w:pPr>
        <w:pStyle w:val="Heading1"/>
      </w:pPr>
      <w:r>
        <w:t xml:space="preserve">References</w:t>
      </w:r>
    </w:p>
    <w:bookmarkStart w:id="45" w:name="refs"/>
    <w:bookmarkStart w:id="29" w:name="ref-artiga2018"/>
    <w:p>
      <w:pPr>
        <w:pStyle w:val="Bibliography"/>
      </w:pPr>
      <w:r>
        <w:t xml:space="preserve">1</w:t>
      </w:r>
      <w:r>
        <w:t xml:space="preserve"> </w:t>
      </w:r>
      <w:r>
        <w:t xml:space="preserve">	</w:t>
      </w:r>
      <w:r>
        <w:t xml:space="preserve">Artiga S, Hinton E. Beyond</w:t>
      </w:r>
      <w:r>
        <w:t xml:space="preserve"> </w:t>
      </w:r>
      <w:r>
        <w:t xml:space="preserve">Health Care</w:t>
      </w:r>
      <w:r>
        <w:t xml:space="preserve">:</w:t>
      </w:r>
      <w:r>
        <w:t xml:space="preserve"> </w:t>
      </w:r>
      <w:r>
        <w:t xml:space="preserve">The Role</w:t>
      </w:r>
      <w:r>
        <w:t xml:space="preserve"> </w:t>
      </w:r>
      <w:r>
        <w:t xml:space="preserve">of</w:t>
      </w:r>
      <w:r>
        <w:t xml:space="preserve"> </w:t>
      </w:r>
      <w:r>
        <w:t xml:space="preserve">Social Determinants</w:t>
      </w:r>
      <w:r>
        <w:t xml:space="preserve"> </w:t>
      </w:r>
      <w:r>
        <w:t xml:space="preserve">in</w:t>
      </w:r>
      <w:r>
        <w:t xml:space="preserve"> </w:t>
      </w:r>
      <w:r>
        <w:t xml:space="preserve">Promoting Health</w:t>
      </w:r>
      <w:r>
        <w:t xml:space="preserve"> </w:t>
      </w:r>
      <w:r>
        <w:t xml:space="preserve">and</w:t>
      </w:r>
      <w:r>
        <w:t xml:space="preserve"> </w:t>
      </w:r>
      <w:r>
        <w:t xml:space="preserve">Health Equity</w:t>
      </w:r>
      <w:r>
        <w:t xml:space="preserve">. 2018; published online May 10.</w:t>
      </w:r>
      <w:r>
        <w:t xml:space="preserve"> </w:t>
      </w:r>
      <w:hyperlink r:id="rId28">
        <w:r>
          <w:rPr>
            <w:rStyle w:val="Hyperlink"/>
          </w:rPr>
          <w:t xml:space="preserve">https://www.kff.org/racial-equity-and-health-policy/issue-brief/beyond-health-care-the-role-of-social-determinants-in-promoting-health-and-health-equity/</w:t>
        </w:r>
      </w:hyperlink>
      <w:r>
        <w:t xml:space="preserve"> </w:t>
      </w:r>
      <w:r>
        <w:t xml:space="preserve">(accessed Sept 8, 2022).</w:t>
      </w:r>
    </w:p>
    <w:bookmarkEnd w:id="29"/>
    <w:bookmarkStart w:id="31" w:name="X542e1e97bb94b9f413f6c6c0723387725ae7f4d"/>
    <w:p>
      <w:pPr>
        <w:pStyle w:val="Bibliography"/>
      </w:pPr>
      <w:r>
        <w:t xml:space="preserve">2</w:t>
      </w:r>
      <w:r>
        <w:t xml:space="preserve"> </w:t>
      </w:r>
      <w:r>
        <w:t xml:space="preserve">	</w:t>
      </w:r>
      <w:r>
        <w:t xml:space="preserve">Health and Human Services Office of Disease Prevention and Health Promotion UD of. Healthy</w:t>
      </w:r>
      <w:r>
        <w:t xml:space="preserve"> </w:t>
      </w:r>
      <w:r>
        <w:t xml:space="preserve">People</w:t>
      </w:r>
      <w:r>
        <w:t xml:space="preserve"> </w:t>
      </w:r>
      <w:r>
        <w:t xml:space="preserve">2030.</w:t>
      </w:r>
      <w:r>
        <w:t xml:space="preserve"> </w:t>
      </w:r>
      <w:hyperlink r:id="rId30">
        <w:r>
          <w:rPr>
            <w:rStyle w:val="Hyperlink"/>
          </w:rPr>
          <w:t xml:space="preserve">https://health.gov/healthypeople</w:t>
        </w:r>
      </w:hyperlink>
      <w:r>
        <w:t xml:space="preserve"> </w:t>
      </w:r>
      <w:r>
        <w:t xml:space="preserve">(accessed Sept 8, 2022).</w:t>
      </w:r>
    </w:p>
    <w:bookmarkEnd w:id="31"/>
    <w:bookmarkStart w:id="33" w:name="ref-abrams2020"/>
    <w:p>
      <w:pPr>
        <w:pStyle w:val="Bibliography"/>
      </w:pPr>
      <w:r>
        <w:t xml:space="preserve">3</w:t>
      </w:r>
      <w:r>
        <w:t xml:space="preserve"> </w:t>
      </w:r>
      <w:r>
        <w:t xml:space="preserve">	</w:t>
      </w:r>
      <w:r>
        <w:t xml:space="preserve">Abrams EM, Szefler SJ.</w:t>
      </w:r>
      <w:r>
        <w:t xml:space="preserve"> </w:t>
      </w:r>
      <w:hyperlink r:id="rId32">
        <w:r>
          <w:rPr>
            <w:rStyle w:val="Hyperlink"/>
          </w:rPr>
          <w:t xml:space="preserve">COVID-19</w:t>
        </w:r>
        <w:r>
          <w:rPr>
            <w:rStyle w:val="Hyperlink"/>
          </w:rPr>
          <w:t xml:space="preserve"> </w:t>
        </w:r>
        <w:r>
          <w:rPr>
            <w:rStyle w:val="Hyperlink"/>
          </w:rPr>
          <w:t xml:space="preserve">and the impact of social determinants of health</w:t>
        </w:r>
      </w:hyperlink>
      <w:r>
        <w:t xml:space="preserve">.</w:t>
      </w:r>
      <w:r>
        <w:t xml:space="preserve"> </w:t>
      </w:r>
      <w:r>
        <w:rPr>
          <w:iCs/>
          <w:i/>
        </w:rPr>
        <w:t xml:space="preserve">Lancet Respir Med</w:t>
      </w:r>
      <w:r>
        <w:t xml:space="preserve"> </w:t>
      </w:r>
      <w:r>
        <w:t xml:space="preserve">2020;</w:t>
      </w:r>
      <w:r>
        <w:t xml:space="preserve"> </w:t>
      </w:r>
      <w:r>
        <w:rPr>
          <w:bCs/>
          <w:b/>
        </w:rPr>
        <w:t xml:space="preserve">8</w:t>
      </w:r>
      <w:r>
        <w:t xml:space="preserve">: 659–61.</w:t>
      </w:r>
    </w:p>
    <w:bookmarkEnd w:id="33"/>
    <w:bookmarkStart w:id="35" w:name="ref-gundersen2015"/>
    <w:p>
      <w:pPr>
        <w:pStyle w:val="Bibliography"/>
      </w:pPr>
      <w:r>
        <w:t xml:space="preserve">4</w:t>
      </w:r>
      <w:r>
        <w:t xml:space="preserve"> </w:t>
      </w:r>
      <w:r>
        <w:t xml:space="preserve">	</w:t>
      </w:r>
      <w:r>
        <w:t xml:space="preserve">Gundersen C, Ziliak JP.</w:t>
      </w:r>
      <w:r>
        <w:t xml:space="preserve"> </w:t>
      </w:r>
      <w:hyperlink r:id="rId34">
        <w:r>
          <w:rPr>
            <w:rStyle w:val="Hyperlink"/>
          </w:rPr>
          <w:t xml:space="preserve">Food</w:t>
        </w:r>
        <w:r>
          <w:rPr>
            <w:rStyle w:val="Hyperlink"/>
          </w:rPr>
          <w:t xml:space="preserve"> </w:t>
        </w:r>
        <w:r>
          <w:rPr>
            <w:rStyle w:val="Hyperlink"/>
          </w:rPr>
          <w:t xml:space="preserve">Insecurity And Health Outcomes</w:t>
        </w:r>
      </w:hyperlink>
      <w:r>
        <w:t xml:space="preserve">.</w:t>
      </w:r>
      <w:r>
        <w:t xml:space="preserve"> </w:t>
      </w:r>
      <w:r>
        <w:rPr>
          <w:iCs/>
          <w:i/>
        </w:rPr>
        <w:t xml:space="preserve">Health Affairs</w:t>
      </w:r>
      <w:r>
        <w:t xml:space="preserve"> </w:t>
      </w:r>
      <w:r>
        <w:t xml:space="preserve">2015;</w:t>
      </w:r>
      <w:r>
        <w:t xml:space="preserve"> </w:t>
      </w:r>
      <w:r>
        <w:rPr>
          <w:bCs/>
          <w:b/>
        </w:rPr>
        <w:t xml:space="preserve">34</w:t>
      </w:r>
      <w:r>
        <w:t xml:space="preserve">: 1830–9.</w:t>
      </w:r>
    </w:p>
    <w:bookmarkEnd w:id="35"/>
    <w:bookmarkStart w:id="37" w:name="ref-heflin2019a"/>
    <w:p>
      <w:pPr>
        <w:pStyle w:val="Bibliography"/>
      </w:pPr>
      <w:r>
        <w:t xml:space="preserve">5</w:t>
      </w:r>
      <w:r>
        <w:t xml:space="preserve"> </w:t>
      </w:r>
      <w:r>
        <w:t xml:space="preserve">	</w:t>
      </w:r>
      <w:r>
        <w:t xml:space="preserve">Heflin CM, Ingram SJ, Ziliak JP.</w:t>
      </w:r>
      <w:r>
        <w:t xml:space="preserve"> </w:t>
      </w:r>
      <w:hyperlink r:id="rId36">
        <w:r>
          <w:rPr>
            <w:rStyle w:val="Hyperlink"/>
          </w:rPr>
          <w:t xml:space="preserve">The</w:t>
        </w:r>
        <w:r>
          <w:rPr>
            <w:rStyle w:val="Hyperlink"/>
          </w:rPr>
          <w:t xml:space="preserve"> </w:t>
        </w:r>
        <w:r>
          <w:rPr>
            <w:rStyle w:val="Hyperlink"/>
          </w:rPr>
          <w:t xml:space="preserve">Effect Of The Supplemental Nutrition Assistance Program On Mortality</w:t>
        </w:r>
      </w:hyperlink>
      <w:r>
        <w:t xml:space="preserve">.</w:t>
      </w:r>
      <w:r>
        <w:t xml:space="preserve"> </w:t>
      </w:r>
      <w:r>
        <w:rPr>
          <w:iCs/>
          <w:i/>
        </w:rPr>
        <w:t xml:space="preserve">Health Affairs</w:t>
      </w:r>
      <w:r>
        <w:t xml:space="preserve"> </w:t>
      </w:r>
      <w:r>
        <w:t xml:space="preserve">2019;</w:t>
      </w:r>
      <w:r>
        <w:t xml:space="preserve"> </w:t>
      </w:r>
      <w:r>
        <w:rPr>
          <w:bCs/>
          <w:b/>
        </w:rPr>
        <w:t xml:space="preserve">38</w:t>
      </w:r>
      <w:r>
        <w:t xml:space="preserve">: 1807–15.</w:t>
      </w:r>
    </w:p>
    <w:bookmarkEnd w:id="37"/>
    <w:bookmarkStart w:id="39" w:name="ref-schanzenbach2020"/>
    <w:p>
      <w:pPr>
        <w:pStyle w:val="Bibliography"/>
      </w:pPr>
      <w:r>
        <w:t xml:space="preserve">6</w:t>
      </w:r>
      <w:r>
        <w:t xml:space="preserve"> </w:t>
      </w:r>
      <w:r>
        <w:t xml:space="preserve">	</w:t>
      </w:r>
      <w:r>
        <w:t xml:space="preserve">Schanzenbach D, Pitts A. How</w:t>
      </w:r>
      <w:r>
        <w:t xml:space="preserve"> </w:t>
      </w:r>
      <w:r>
        <w:t xml:space="preserve">Much Has Food Insecurity Risen</w:t>
      </w:r>
      <w:r>
        <w:t xml:space="preserve">?</w:t>
      </w:r>
      <w:r>
        <w:t xml:space="preserve"> </w:t>
      </w:r>
      <w:r>
        <w:t xml:space="preserve">Evidence</w:t>
      </w:r>
      <w:r>
        <w:t xml:space="preserve"> </w:t>
      </w:r>
      <w:r>
        <w:t xml:space="preserve">from the</w:t>
      </w:r>
      <w:r>
        <w:t xml:space="preserve"> </w:t>
      </w:r>
      <w:r>
        <w:t xml:space="preserve">Census Household Pulse Survey</w:t>
      </w:r>
      <w:r>
        <w:t xml:space="preserve">.</w:t>
      </w:r>
      <w:r>
        <w:t xml:space="preserve"> </w:t>
      </w:r>
      <w:r>
        <w:rPr>
          <w:iCs/>
          <w:i/>
        </w:rPr>
        <w:t xml:space="preserve">Institute for Policy Research Rapid Research Report</w:t>
      </w:r>
      <w:r>
        <w:t xml:space="preserve"> </w:t>
      </w:r>
      <w:r>
        <w:t xml:space="preserve">2020.</w:t>
      </w:r>
      <w:r>
        <w:t xml:space="preserve"> </w:t>
      </w:r>
      <w:hyperlink r:id="rId38">
        <w:r>
          <w:rPr>
            <w:rStyle w:val="Hyperlink"/>
          </w:rPr>
          <w:t xml:space="preserve">https://www.ipr.northwestern.edu/documents/reports/ipr-rapid-research-reports-pulse-hh-data-10-june-2020.pdf</w:t>
        </w:r>
      </w:hyperlink>
      <w:r>
        <w:t xml:space="preserve">.</w:t>
      </w:r>
    </w:p>
    <w:bookmarkEnd w:id="39"/>
    <w:bookmarkStart w:id="41" w:name="ref-feedingamerica2021"/>
    <w:p>
      <w:pPr>
        <w:pStyle w:val="Bibliography"/>
      </w:pPr>
      <w:r>
        <w:t xml:space="preserve">7</w:t>
      </w:r>
      <w:r>
        <w:t xml:space="preserve"> </w:t>
      </w:r>
      <w:r>
        <w:t xml:space="preserve">	</w:t>
      </w:r>
      <w:r>
        <w:t xml:space="preserve">America F. The</w:t>
      </w:r>
      <w:r>
        <w:t xml:space="preserve"> </w:t>
      </w:r>
      <w:r>
        <w:t xml:space="preserve">Impact</w:t>
      </w:r>
      <w:r>
        <w:t xml:space="preserve"> </w:t>
      </w:r>
      <w:r>
        <w:t xml:space="preserve">of the</w:t>
      </w:r>
      <w:r>
        <w:t xml:space="preserve"> </w:t>
      </w:r>
      <w:r>
        <w:t xml:space="preserve">Coronavirus</w:t>
      </w:r>
      <w:r>
        <w:t xml:space="preserve"> </w:t>
      </w:r>
      <w:r>
        <w:t xml:space="preserve">on</w:t>
      </w:r>
      <w:r>
        <w:t xml:space="preserve"> </w:t>
      </w:r>
      <w:r>
        <w:t xml:space="preserve">Local Food Insecurity</w:t>
      </w:r>
      <w:r>
        <w:t xml:space="preserve"> </w:t>
      </w:r>
      <w:r>
        <w:t xml:space="preserve">in 2020 &amp; 2021. 2021; published online March 31.</w:t>
      </w:r>
      <w:r>
        <w:t xml:space="preserve"> </w:t>
      </w:r>
      <w:hyperlink r:id="rId40">
        <w:r>
          <w:rPr>
            <w:rStyle w:val="Hyperlink"/>
          </w:rPr>
          <w:t xml:space="preserve">https://www.feedingamerica.org/sites/default/files/2021-03/Local%20Projections%20Brief_3.31.2021.pdf</w:t>
        </w:r>
      </w:hyperlink>
      <w:r>
        <w:t xml:space="preserve"> </w:t>
      </w:r>
      <w:r>
        <w:t xml:space="preserve">(accessed Sept 8, 2022).</w:t>
      </w:r>
    </w:p>
    <w:bookmarkEnd w:id="41"/>
    <w:bookmarkStart w:id="43" w:name="ref-lowey2020"/>
    <w:p>
      <w:pPr>
        <w:pStyle w:val="Bibliography"/>
      </w:pPr>
      <w:r>
        <w:t xml:space="preserve">8</w:t>
      </w:r>
      <w:r>
        <w:t xml:space="preserve"> </w:t>
      </w:r>
      <w:r>
        <w:t xml:space="preserve">	</w:t>
      </w:r>
      <w:r>
        <w:t xml:space="preserve">Lowey NM. Text -</w:t>
      </w:r>
      <w:r>
        <w:t xml:space="preserve"> </w:t>
      </w:r>
      <w:r>
        <w:t xml:space="preserve">H</w:t>
      </w:r>
      <w:r>
        <w:t xml:space="preserve">.</w:t>
      </w:r>
      <w:r>
        <w:t xml:space="preserve">R</w:t>
      </w:r>
      <w:r>
        <w:t xml:space="preserve">.6201 - 116th</w:t>
      </w:r>
      <w:r>
        <w:t xml:space="preserve"> </w:t>
      </w:r>
      <w:r>
        <w:t xml:space="preserve">Congress</w:t>
      </w:r>
      <w:r>
        <w:t xml:space="preserve"> </w:t>
      </w:r>
      <w:r>
        <w:t xml:space="preserve">(2019-2020):</w:t>
      </w:r>
      <w:r>
        <w:t xml:space="preserve"> </w:t>
      </w:r>
      <w:r>
        <w:t xml:space="preserve">Families First Coronavirus Response Act</w:t>
      </w:r>
      <w:r>
        <w:t xml:space="preserve">. 2020; published online March 18.</w:t>
      </w:r>
      <w:r>
        <w:t xml:space="preserve"> </w:t>
      </w:r>
      <w:hyperlink r:id="rId42">
        <w:r>
          <w:rPr>
            <w:rStyle w:val="Hyperlink"/>
          </w:rPr>
          <w:t xml:space="preserve">http://www.congress.gov/</w:t>
        </w:r>
      </w:hyperlink>
      <w:r>
        <w:t xml:space="preserve"> </w:t>
      </w:r>
      <w:r>
        <w:t xml:space="preserve">(accessed Sept 9, 2022).</w:t>
      </w:r>
    </w:p>
    <w:bookmarkEnd w:id="43"/>
    <w:bookmarkStart w:id="44" w:name="ref-cuellar2020"/>
    <w:p>
      <w:pPr>
        <w:pStyle w:val="Bibliography"/>
      </w:pPr>
      <w:r>
        <w:t xml:space="preserve">9</w:t>
      </w:r>
      <w:r>
        <w:t xml:space="preserve"> </w:t>
      </w:r>
      <w:r>
        <w:t xml:space="preserve">	</w:t>
      </w:r>
      <w:r>
        <w:t xml:space="preserve">Cuellar H. Text -</w:t>
      </w:r>
      <w:r>
        <w:t xml:space="preserve"> </w:t>
      </w:r>
      <w:r>
        <w:t xml:space="preserve">H</w:t>
      </w:r>
      <w:r>
        <w:t xml:space="preserve">.</w:t>
      </w:r>
      <w:r>
        <w:t xml:space="preserve">R</w:t>
      </w:r>
      <w:r>
        <w:t xml:space="preserve">.133 - 116th</w:t>
      </w:r>
      <w:r>
        <w:t xml:space="preserve"> </w:t>
      </w:r>
      <w:r>
        <w:t xml:space="preserve">Congress</w:t>
      </w:r>
      <w:r>
        <w:t xml:space="preserve"> </w:t>
      </w:r>
      <w:r>
        <w:t xml:space="preserve">(2019-2020):</w:t>
      </w:r>
      <w:r>
        <w:t xml:space="preserve"> </w:t>
      </w:r>
      <w:r>
        <w:t xml:space="preserve">Consolidated Appropriations Act</w:t>
      </w:r>
      <w:r>
        <w:t xml:space="preserve">, 2021. 2020; published online Dec 27.</w:t>
      </w:r>
      <w:r>
        <w:t xml:space="preserve"> </w:t>
      </w:r>
      <w:hyperlink r:id="rId42">
        <w:r>
          <w:rPr>
            <w:rStyle w:val="Hyperlink"/>
          </w:rPr>
          <w:t xml:space="preserve">http://www.congress.gov/</w:t>
        </w:r>
      </w:hyperlink>
      <w:r>
        <w:t xml:space="preserve"> </w:t>
      </w:r>
      <w:r>
        <w:t xml:space="preserve">(accessed Sept 9, 2022).</w:t>
      </w:r>
    </w:p>
    <w:bookmarkEnd w:id="44"/>
    <w:bookmarkEnd w:id="45"/>
    <w:bookmarkEnd w:id="46"/>
    <w:sectPr w:rsidR="006F2048">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w:altName w:val="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There had been a third type of increase by the Biden administration, which ensured that every household receive at least an additional $95 from the EA increase, but it is not relevant for the time frame of the study.</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A4304EE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384A03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350A27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AFACD9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72E070C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56A96D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FC5FE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F36AC0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6DA277E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324BDB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6A6C155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6354E0"/>
    <w:pPr>
      <w:keepNext/>
      <w:keepLines/>
      <w:spacing w:after="0" w:before="480"/>
      <w:outlineLvl w:val="0"/>
    </w:pPr>
    <w:rPr>
      <w:rFonts w:ascii="Times New Roman" w:cstheme="majorBidi" w:eastAsiaTheme="majorEastAsia" w:hAnsi="Times New Roman"/>
      <w:b/>
      <w:bCs/>
      <w:color w:themeColor="text1" w:themeTint="BF" w:val="404040"/>
      <w:szCs w:val="32"/>
      <w:u w:val="single"/>
    </w:rPr>
  </w:style>
  <w:style w:styleId="Heading2" w:type="paragraph">
    <w:name w:val="heading 2"/>
    <w:basedOn w:val="Normal"/>
    <w:next w:val="BodyText"/>
    <w:uiPriority w:val="9"/>
    <w:unhideWhenUsed/>
    <w:qFormat/>
    <w:rsid w:val="005A4F81"/>
    <w:pPr>
      <w:keepNext/>
      <w:keepLines/>
      <w:spacing w:after="0" w:before="200"/>
      <w:outlineLvl w:val="1"/>
    </w:pPr>
    <w:rPr>
      <w:rFonts w:ascii="Times New Roman" w:cstheme="majorBidi" w:eastAsiaTheme="majorEastAsia" w:hAnsi="Times New Roman"/>
      <w:bCs/>
      <w:i/>
      <w:color w:themeColor="background1" w:themeShade="80" w:val="808080"/>
      <w:szCs w:val="32"/>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0A76A7"/>
    <w:pPr>
      <w:spacing w:after="180" w:before="180" w:line="480" w:lineRule="auto"/>
      <w:ind w:firstLine="720"/>
    </w:pPr>
    <w:rPr>
      <w:rFonts w:ascii="Times New Roman" w:hAnsi="Times New Roman"/>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D326A"/>
    <w:pPr>
      <w:keepNext/>
      <w:keepLines/>
      <w:spacing w:after="600" w:before="840"/>
      <w:jc w:val="center"/>
    </w:pPr>
    <w:rPr>
      <w:rFonts w:ascii="Times New Roman" w:cstheme="majorBidi" w:eastAsiaTheme="majorEastAsia" w:hAnsi="Times New Roman"/>
      <w:bCs/>
      <w:color w:themeColor="text1" w:themeTint="BF" w:val="4040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875E14"/>
    <w:pPr>
      <w:keepNext/>
      <w:keepLines/>
      <w:spacing w:line="480" w:lineRule="auto"/>
      <w:jc w:val="center"/>
    </w:pPr>
    <w:rPr>
      <w:rFonts w:ascii="Times New Roman" w:hAnsi="Times New Roman"/>
      <w:color w:themeColor="text1" w:themeTint="BF" w:val="404040"/>
    </w:rPr>
  </w:style>
  <w:style w:styleId="Date" w:type="paragraph">
    <w:name w:val="Date"/>
    <w:next w:val="BodyText"/>
    <w:qFormat/>
    <w:rsid w:val="00875E14"/>
    <w:pPr>
      <w:keepNext/>
      <w:keepLines/>
      <w:spacing w:line="480" w:lineRule="auto"/>
      <w:jc w:val="center"/>
    </w:pPr>
    <w:rPr>
      <w:rFonts w:ascii="Times New Roman" w:hAnsi="Times New Roman"/>
      <w:color w:themeColor="text1" w:themeTint="BF" w:val="404040"/>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rsid w:val="0038741C"/>
    <w:rPr>
      <w:rFonts w:ascii="Times" w:hAnsi="Times"/>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892A59"/>
    <w:pPr>
      <w:spacing w:after="120"/>
    </w:pPr>
    <w:rPr>
      <w:rFonts w:ascii="Times New Roman" w:hAnsi="Times New Roman"/>
      <w:i/>
      <w:color w:themeColor="text1" w:themeTint="BF" w:val="404040"/>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892A59"/>
    <w:rPr>
      <w:rFonts w:ascii="Times New Roman" w:hAnsi="Times New Roman"/>
      <w:i/>
      <w:color w:themeColor="text1" w:themeTint="BF" w:val="404040"/>
    </w:rPr>
  </w:style>
  <w:style w:customStyle="1" w:styleId="VerbatimChar" w:type="character">
    <w:name w:val="Verbatim Char"/>
    <w:basedOn w:val="CaptionChar"/>
    <w:link w:val="SourceCode"/>
    <w:rPr>
      <w:rFonts w:ascii="Consolas" w:hAnsi="Consolas"/>
      <w:i/>
      <w:color w:themeColor="text1" w:themeTint="BF" w:val="404040"/>
      <w:sz w:val="22"/>
    </w:rPr>
  </w:style>
  <w:style w:styleId="FootnoteReference" w:type="character">
    <w:name w:val="footnote reference"/>
    <w:basedOn w:val="CaptionChar"/>
    <w:rPr>
      <w:rFonts w:ascii="Times New Roman" w:hAnsi="Times New Roman"/>
      <w:i/>
      <w:color w:themeColor="text1" w:themeTint="BF" w:val="404040"/>
      <w:vertAlign w:val="superscript"/>
    </w:rPr>
  </w:style>
  <w:style w:styleId="Hyperlink" w:type="character">
    <w:name w:val="Hyperlink"/>
    <w:basedOn w:val="CaptionChar"/>
    <w:rPr>
      <w:rFonts w:ascii="Times New Roman" w:hAnsi="Times New Roman"/>
      <w:i/>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i/>
      <w:color w:val="204A87"/>
      <w:sz w:val="22"/>
      <w:shd w:color="auto" w:fill="F8F8F8" w:val="clear"/>
    </w:rPr>
  </w:style>
  <w:style w:customStyle="1" w:styleId="DataTypeTok" w:type="character">
    <w:name w:val="DataTypeTok"/>
    <w:basedOn w:val="VerbatimChar"/>
    <w:rPr>
      <w:rFonts w:ascii="Consolas" w:hAnsi="Consolas"/>
      <w:i/>
      <w:color w:val="204A87"/>
      <w:sz w:val="22"/>
      <w:shd w:color="auto" w:fill="F8F8F8" w:val="clear"/>
    </w:rPr>
  </w:style>
  <w:style w:customStyle="1" w:styleId="DecValTok" w:type="character">
    <w:name w:val="DecValTok"/>
    <w:basedOn w:val="VerbatimChar"/>
    <w:rPr>
      <w:rFonts w:ascii="Consolas" w:hAnsi="Consolas"/>
      <w:i/>
      <w:color w:val="0000CF"/>
      <w:sz w:val="22"/>
      <w:shd w:color="auto" w:fill="F8F8F8" w:val="clear"/>
    </w:rPr>
  </w:style>
  <w:style w:customStyle="1" w:styleId="BaseNTok" w:type="character">
    <w:name w:val="BaseNTok"/>
    <w:basedOn w:val="VerbatimChar"/>
    <w:rPr>
      <w:rFonts w:ascii="Consolas" w:hAnsi="Consolas"/>
      <w:i/>
      <w:color w:val="0000CF"/>
      <w:sz w:val="22"/>
      <w:shd w:color="auto" w:fill="F8F8F8" w:val="clear"/>
    </w:rPr>
  </w:style>
  <w:style w:customStyle="1" w:styleId="FloatTok" w:type="character">
    <w:name w:val="FloatTok"/>
    <w:basedOn w:val="VerbatimChar"/>
    <w:rPr>
      <w:rFonts w:ascii="Consolas" w:hAnsi="Consolas"/>
      <w:i/>
      <w:color w:val="0000CF"/>
      <w:sz w:val="22"/>
      <w:shd w:color="auto" w:fill="F8F8F8" w:val="clear"/>
    </w:rPr>
  </w:style>
  <w:style w:customStyle="1" w:styleId="ConstantTok" w:type="character">
    <w:name w:val="ConstantTok"/>
    <w:basedOn w:val="VerbatimChar"/>
    <w:rPr>
      <w:rFonts w:ascii="Consolas" w:hAnsi="Consolas"/>
      <w:i/>
      <w:color w:val="000000"/>
      <w:sz w:val="22"/>
      <w:shd w:color="auto" w:fill="F8F8F8" w:val="clear"/>
    </w:rPr>
  </w:style>
  <w:style w:customStyle="1" w:styleId="CharTok" w:type="character">
    <w:name w:val="CharTok"/>
    <w:basedOn w:val="VerbatimChar"/>
    <w:rPr>
      <w:rFonts w:ascii="Consolas" w:hAnsi="Consolas"/>
      <w:i/>
      <w:color w:val="4E9A06"/>
      <w:sz w:val="22"/>
      <w:shd w:color="auto" w:fill="F8F8F8" w:val="clear"/>
    </w:rPr>
  </w:style>
  <w:style w:customStyle="1" w:styleId="SpecialCharTok" w:type="character">
    <w:name w:val="SpecialCharTok"/>
    <w:basedOn w:val="VerbatimChar"/>
    <w:rPr>
      <w:rFonts w:ascii="Consolas" w:hAnsi="Consolas"/>
      <w:i/>
      <w:color w:val="000000"/>
      <w:sz w:val="22"/>
      <w:shd w:color="auto" w:fill="F8F8F8" w:val="clear"/>
    </w:rPr>
  </w:style>
  <w:style w:customStyle="1" w:styleId="StringTok" w:type="character">
    <w:name w:val="StringTok"/>
    <w:basedOn w:val="VerbatimChar"/>
    <w:rPr>
      <w:rFonts w:ascii="Consolas" w:hAnsi="Consolas"/>
      <w:i/>
      <w:color w:val="4E9A06"/>
      <w:sz w:val="22"/>
      <w:shd w:color="auto" w:fill="F8F8F8" w:val="clear"/>
    </w:rPr>
  </w:style>
  <w:style w:customStyle="1" w:styleId="VerbatimStringTok" w:type="character">
    <w:name w:val="VerbatimStringTok"/>
    <w:basedOn w:val="VerbatimChar"/>
    <w:rPr>
      <w:rFonts w:ascii="Consolas" w:hAnsi="Consolas"/>
      <w:i/>
      <w:color w:val="4E9A06"/>
      <w:sz w:val="22"/>
      <w:shd w:color="auto" w:fill="F8F8F8" w:val="clear"/>
    </w:rPr>
  </w:style>
  <w:style w:customStyle="1" w:styleId="SpecialStringTok" w:type="character">
    <w:name w:val="SpecialStringTok"/>
    <w:basedOn w:val="VerbatimChar"/>
    <w:rPr>
      <w:rFonts w:ascii="Consolas" w:hAnsi="Consolas"/>
      <w:i/>
      <w:color w:val="4E9A06"/>
      <w:sz w:val="22"/>
      <w:shd w:color="auto" w:fill="F8F8F8" w:val="clear"/>
    </w:rPr>
  </w:style>
  <w:style w:customStyle="1" w:styleId="ImportTok" w:type="character">
    <w:name w:val="ImportTok"/>
    <w:basedOn w:val="VerbatimChar"/>
    <w:rPr>
      <w:rFonts w:ascii="Consolas" w:hAnsi="Consolas"/>
      <w:i/>
      <w:color w:themeColor="text1" w:themeTint="BF" w:val="404040"/>
      <w:sz w:val="22"/>
      <w:shd w:color="auto" w:fill="F8F8F8" w:val="clear"/>
    </w:rPr>
  </w:style>
  <w:style w:customStyle="1" w:styleId="CommentTok" w:type="character">
    <w:name w:val="CommentTok"/>
    <w:basedOn w:val="VerbatimChar"/>
    <w:rPr>
      <w:rFonts w:ascii="Consolas" w:hAnsi="Consolas"/>
      <w:i w:val="0"/>
      <w:color w:val="8F5902"/>
      <w:sz w:val="22"/>
      <w:shd w:color="auto" w:fill="F8F8F8" w:val="clear"/>
    </w:rPr>
  </w:style>
  <w:style w:customStyle="1" w:styleId="DocumentationTok" w:type="character">
    <w:name w:val="DocumentationTok"/>
    <w:basedOn w:val="VerbatimChar"/>
    <w:rPr>
      <w:rFonts w:ascii="Consolas" w:hAnsi="Consolas"/>
      <w:b/>
      <w:i w:val="0"/>
      <w:color w:val="8F5902"/>
      <w:sz w:val="22"/>
      <w:shd w:color="auto" w:fill="F8F8F8" w:val="clear"/>
    </w:rPr>
  </w:style>
  <w:style w:customStyle="1" w:styleId="AnnotationTok" w:type="character">
    <w:name w:val="AnnotationTok"/>
    <w:basedOn w:val="VerbatimChar"/>
    <w:rPr>
      <w:rFonts w:ascii="Consolas" w:hAnsi="Consolas"/>
      <w:b/>
      <w:i w:val="0"/>
      <w:color w:val="8F5902"/>
      <w:sz w:val="22"/>
      <w:shd w:color="auto" w:fill="F8F8F8" w:val="clear"/>
    </w:rPr>
  </w:style>
  <w:style w:customStyle="1" w:styleId="CommentVarTok" w:type="character">
    <w:name w:val="CommentVarTok"/>
    <w:basedOn w:val="VerbatimChar"/>
    <w:rPr>
      <w:rFonts w:ascii="Consolas" w:hAnsi="Consolas"/>
      <w:b/>
      <w:i w:val="0"/>
      <w:color w:val="8F5902"/>
      <w:sz w:val="22"/>
      <w:shd w:color="auto" w:fill="F8F8F8" w:val="clear"/>
    </w:rPr>
  </w:style>
  <w:style w:customStyle="1" w:styleId="OtherTok" w:type="character">
    <w:name w:val="OtherTok"/>
    <w:basedOn w:val="VerbatimChar"/>
    <w:rPr>
      <w:rFonts w:ascii="Consolas" w:hAnsi="Consolas"/>
      <w:i/>
      <w:color w:val="8F5902"/>
      <w:sz w:val="22"/>
      <w:shd w:color="auto" w:fill="F8F8F8" w:val="clear"/>
    </w:rPr>
  </w:style>
  <w:style w:customStyle="1" w:styleId="FunctionTok" w:type="character">
    <w:name w:val="FunctionTok"/>
    <w:basedOn w:val="VerbatimChar"/>
    <w:rPr>
      <w:rFonts w:ascii="Consolas" w:hAnsi="Consolas"/>
      <w:i/>
      <w:color w:val="000000"/>
      <w:sz w:val="22"/>
      <w:shd w:color="auto" w:fill="F8F8F8" w:val="clear"/>
    </w:rPr>
  </w:style>
  <w:style w:customStyle="1" w:styleId="VariableTok" w:type="character">
    <w:name w:val="VariableTok"/>
    <w:basedOn w:val="VerbatimChar"/>
    <w:rPr>
      <w:rFonts w:ascii="Consolas" w:hAnsi="Consolas"/>
      <w:i/>
      <w:color w:val="000000"/>
      <w:sz w:val="22"/>
      <w:shd w:color="auto" w:fill="F8F8F8" w:val="clear"/>
    </w:rPr>
  </w:style>
  <w:style w:customStyle="1" w:styleId="ControlFlowTok" w:type="character">
    <w:name w:val="ControlFlowTok"/>
    <w:basedOn w:val="VerbatimChar"/>
    <w:rPr>
      <w:rFonts w:ascii="Consolas" w:hAnsi="Consolas"/>
      <w:b/>
      <w:i/>
      <w:color w:val="204A87"/>
      <w:sz w:val="22"/>
      <w:shd w:color="auto" w:fill="F8F8F8" w:val="clear"/>
    </w:rPr>
  </w:style>
  <w:style w:customStyle="1" w:styleId="OperatorTok" w:type="character">
    <w:name w:val="OperatorTok"/>
    <w:basedOn w:val="VerbatimChar"/>
    <w:rPr>
      <w:rFonts w:ascii="Consolas" w:hAnsi="Consolas"/>
      <w:b/>
      <w:i/>
      <w:color w:val="CE5C00"/>
      <w:sz w:val="22"/>
      <w:shd w:color="auto" w:fill="F8F8F8" w:val="clear"/>
    </w:rPr>
  </w:style>
  <w:style w:customStyle="1" w:styleId="BuiltInTok" w:type="character">
    <w:name w:val="BuiltInTok"/>
    <w:basedOn w:val="VerbatimChar"/>
    <w:rPr>
      <w:rFonts w:ascii="Consolas" w:hAnsi="Consolas"/>
      <w:i/>
      <w:color w:themeColor="text1" w:themeTint="BF" w:val="404040"/>
      <w:sz w:val="22"/>
      <w:shd w:color="auto" w:fill="F8F8F8" w:val="clear"/>
    </w:rPr>
  </w:style>
  <w:style w:customStyle="1" w:styleId="ExtensionTok" w:type="character">
    <w:name w:val="ExtensionTok"/>
    <w:basedOn w:val="VerbatimChar"/>
    <w:rPr>
      <w:rFonts w:ascii="Consolas" w:hAnsi="Consolas"/>
      <w:i/>
      <w:color w:themeColor="text1" w:themeTint="BF" w:val="404040"/>
      <w:sz w:val="22"/>
      <w:shd w:color="auto" w:fill="F8F8F8" w:val="clear"/>
    </w:rPr>
  </w:style>
  <w:style w:customStyle="1" w:styleId="PreprocessorTok" w:type="character">
    <w:name w:val="PreprocessorTok"/>
    <w:basedOn w:val="VerbatimChar"/>
    <w:rPr>
      <w:rFonts w:ascii="Consolas" w:hAnsi="Consolas"/>
      <w:i w:val="0"/>
      <w:color w:val="8F5902"/>
      <w:sz w:val="22"/>
      <w:shd w:color="auto" w:fill="F8F8F8" w:val="clear"/>
    </w:rPr>
  </w:style>
  <w:style w:customStyle="1" w:styleId="AttributeTok" w:type="character">
    <w:name w:val="AttributeTok"/>
    <w:basedOn w:val="VerbatimChar"/>
    <w:rPr>
      <w:rFonts w:ascii="Consolas" w:hAnsi="Consolas"/>
      <w:i/>
      <w:color w:val="C4A000"/>
      <w:sz w:val="22"/>
      <w:shd w:color="auto" w:fill="F8F8F8" w:val="clear"/>
    </w:rPr>
  </w:style>
  <w:style w:customStyle="1" w:styleId="RegionMarkerTok" w:type="character">
    <w:name w:val="RegionMarkerTok"/>
    <w:basedOn w:val="VerbatimChar"/>
    <w:rPr>
      <w:rFonts w:ascii="Consolas" w:hAnsi="Consolas"/>
      <w:i/>
      <w:color w:themeColor="text1" w:themeTint="BF" w:val="404040"/>
      <w:sz w:val="22"/>
      <w:shd w:color="auto" w:fill="F8F8F8" w:val="clear"/>
    </w:rPr>
  </w:style>
  <w:style w:customStyle="1" w:styleId="InformationTok" w:type="character">
    <w:name w:val="InformationTok"/>
    <w:basedOn w:val="VerbatimChar"/>
    <w:rPr>
      <w:rFonts w:ascii="Consolas" w:hAnsi="Consolas"/>
      <w:b/>
      <w:i w:val="0"/>
      <w:color w:val="8F5902"/>
      <w:sz w:val="22"/>
      <w:shd w:color="auto" w:fill="F8F8F8" w:val="clear"/>
    </w:rPr>
  </w:style>
  <w:style w:customStyle="1" w:styleId="WarningTok" w:type="character">
    <w:name w:val="WarningTok"/>
    <w:basedOn w:val="VerbatimChar"/>
    <w:rPr>
      <w:rFonts w:ascii="Consolas" w:hAnsi="Consolas"/>
      <w:b/>
      <w:i w:val="0"/>
      <w:color w:val="8F5902"/>
      <w:sz w:val="22"/>
      <w:shd w:color="auto" w:fill="F8F8F8" w:val="clear"/>
    </w:rPr>
  </w:style>
  <w:style w:customStyle="1" w:styleId="AlertTok" w:type="character">
    <w:name w:val="AlertTok"/>
    <w:basedOn w:val="VerbatimChar"/>
    <w:rPr>
      <w:rFonts w:ascii="Consolas" w:hAnsi="Consolas"/>
      <w:i/>
      <w:color w:val="EF2929"/>
      <w:sz w:val="22"/>
      <w:shd w:color="auto" w:fill="F8F8F8" w:val="clear"/>
    </w:rPr>
  </w:style>
  <w:style w:customStyle="1" w:styleId="ErrorTok" w:type="character">
    <w:name w:val="ErrorTok"/>
    <w:basedOn w:val="VerbatimChar"/>
    <w:rPr>
      <w:rFonts w:ascii="Consolas" w:hAnsi="Consolas"/>
      <w:b/>
      <w:i/>
      <w:color w:val="A40000"/>
      <w:sz w:val="22"/>
      <w:shd w:color="auto" w:fill="F8F8F8" w:val="clear"/>
    </w:rPr>
  </w:style>
  <w:style w:customStyle="1" w:styleId="NormalTok" w:type="character">
    <w:name w:val="NormalTok"/>
    <w:basedOn w:val="VerbatimChar"/>
    <w:rPr>
      <w:rFonts w:ascii="Consolas" w:hAnsi="Consolas"/>
      <w:i/>
      <w:color w:themeColor="text1" w:themeTint="BF" w:val="404040"/>
      <w:sz w:val="22"/>
      <w:shd w:color="auto" w:fill="F8F8F8" w:val="clear"/>
    </w:rPr>
  </w:style>
  <w:style w:customStyle="1" w:styleId="BodyTextChar" w:type="character">
    <w:name w:val="Body Text Char"/>
    <w:basedOn w:val="DefaultParagraphFont"/>
    <w:link w:val="BodyText"/>
    <w:rsid w:val="000A76A7"/>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www.congress.gov/" TargetMode="External" /><Relationship Type="http://schemas.openxmlformats.org/officeDocument/2006/relationships/hyperlink" Id="rId32" Target="https://doi.org/10.1016/S2213-2600(20)30234-4" TargetMode="External" /><Relationship Type="http://schemas.openxmlformats.org/officeDocument/2006/relationships/hyperlink" Id="rId34" Target="https://doi.org/10.1377/hlthaff.2015.0645" TargetMode="External" /><Relationship Type="http://schemas.openxmlformats.org/officeDocument/2006/relationships/hyperlink" Id="rId36" Target="https://doi.org/10.1377/hlthaff.2019.00405" TargetMode="External" /><Relationship Type="http://schemas.openxmlformats.org/officeDocument/2006/relationships/hyperlink" Id="rId30" Target="https://health.gov/healthypeople" TargetMode="External" /><Relationship Type="http://schemas.openxmlformats.org/officeDocument/2006/relationships/hyperlink" Id="rId40" Target="https://www.feedingamerica.org/sites/default/files/2021-03/Local%20Projections%20Brief_3.31.2021.pdf" TargetMode="External" /><Relationship Type="http://schemas.openxmlformats.org/officeDocument/2006/relationships/hyperlink" Id="rId38" Target="https://www.ipr.northwestern.edu/documents/reports/ipr-rapid-research-reports-pulse-hh-data-10-june-2020.pdf" TargetMode="External" /><Relationship Type="http://schemas.openxmlformats.org/officeDocument/2006/relationships/hyperlink" Id="rId28" Target="https://www.kff.org/racial-equity-and-health-policy/issue-brief/beyond-health-care-the-role-of-social-determinants-in-promoting-health-and-health-equity/" TargetMode="External" /></Relationships>
</file>

<file path=word/_rels/footnotes.xml.rels><?xml version="1.0" encoding="UTF-8"?><Relationships xmlns="http://schemas.openxmlformats.org/package/2006/relationships"><Relationship Type="http://schemas.openxmlformats.org/officeDocument/2006/relationships/hyperlink" Id="rId42" Target="http://www.congress.gov/" TargetMode="External" /><Relationship Type="http://schemas.openxmlformats.org/officeDocument/2006/relationships/hyperlink" Id="rId32" Target="https://doi.org/10.1016/S2213-2600(20)30234-4" TargetMode="External" /><Relationship Type="http://schemas.openxmlformats.org/officeDocument/2006/relationships/hyperlink" Id="rId34" Target="https://doi.org/10.1377/hlthaff.2015.0645" TargetMode="External" /><Relationship Type="http://schemas.openxmlformats.org/officeDocument/2006/relationships/hyperlink" Id="rId36" Target="https://doi.org/10.1377/hlthaff.2019.00405" TargetMode="External" /><Relationship Type="http://schemas.openxmlformats.org/officeDocument/2006/relationships/hyperlink" Id="rId30" Target="https://health.gov/healthypeople" TargetMode="External" /><Relationship Type="http://schemas.openxmlformats.org/officeDocument/2006/relationships/hyperlink" Id="rId40" Target="https://www.feedingamerica.org/sites/default/files/2021-03/Local%20Projections%20Brief_3.31.2021.pdf" TargetMode="External" /><Relationship Type="http://schemas.openxmlformats.org/officeDocument/2006/relationships/hyperlink" Id="rId38" Target="https://www.ipr.northwestern.edu/documents/reports/ipr-rapid-research-reports-pulse-hh-data-10-june-2020.pdf" TargetMode="External" /><Relationship Type="http://schemas.openxmlformats.org/officeDocument/2006/relationships/hyperlink" Id="rId28" Target="https://www.kff.org/racial-equity-and-health-policy/issue-brief/beyond-health-care-the-role-of-social-determinants-in-promoting-health-and-health-equ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25</Words>
  <Characters>145</Characters>
  <Application>Microsoft Office Word</Application>
  <DocSecurity>0</DocSecurity>
  <Lines>1</Lines>
  <Paragraphs>1</Paragraphs>
  <ScaleCrop>false</ScaleCrop>
  <Company/>
  <LinksUpToDate>false</LinksUpToDate>
  <CharactersWithSpaces>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Association between Food Insecurity and COVID-19 Cases: Evidence from Nebraska SNAP Policy</dc:title>
  <dc:creator>Matthew Lavallee, BA; Nadia Abuelezam, ScD;</dc:creator>
  <cp:keywords/>
  <dcterms:created xsi:type="dcterms:W3CDTF">2022-09-09T19:14:04Z</dcterms:created>
  <dcterms:modified xsi:type="dcterms:W3CDTF">2022-09-09T19:14:04Z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the-lancet.csl</vt:lpwstr>
  </property>
  <property fmtid="{D5CDD505-2E9C-101B-9397-08002B2CF9AE}" pid="4" name="date">
    <vt:lpwstr>From the Connell School of Nursing, Boston College (Lavallee, Abuelezam)</vt:lpwstr>
  </property>
  <property fmtid="{D5CDD505-2E9C-101B-9397-08002B2CF9AE}" pid="5" name="indent">
    <vt:lpwstr/>
  </property>
  <property fmtid="{D5CDD505-2E9C-101B-9397-08002B2CF9AE}" pid="6" name="link-citations">
    <vt:lpwstr>True</vt:lpwstr>
  </property>
  <property fmtid="{D5CDD505-2E9C-101B-9397-08002B2CF9AE}" pid="7" name="output">
    <vt:lpwstr/>
  </property>
</Properties>
</file>