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B5762E"/>
          <w:sz w:val="20"/>
          <w:szCs w:val="20"/>
        </w:rPr>
        <w:t xml:space="preserve">FINAL PROJECT REPORT</w:t>
      </w:r>
    </w:p>
    <w:p>
      <w:pPr>
        <w:spacing w:after="120"/>
      </w:pPr>
      <w:r>
        <w:rPr>
          <w:b/>
          <w:bCs/>
          <w:color w:val="1C3144"/>
          <w:sz w:val="40"/>
          <w:szCs w:val="40"/>
        </w:rPr>
        <w:t xml:space="preserve">Geospatial AI-Driven Site Selection Tool for Luxury Cafés in Lahore</w:t>
      </w:r>
    </w:p>
    <w:p>
      <w:pPr>
        <w:spacing w:after="60"/>
      </w:pPr>
      <w:r>
        <w:rPr>
          <w:color w:val="5B6B73"/>
          <w:sz w:val="22"/>
          <w:szCs w:val="22"/>
        </w:rPr>
        <w:t xml:space="preserve">Abuhurairah Faheem (BSCS23077)  •  Muhammad Ammar Bin Talib (BSCS23143)</w:t>
      </w:r>
    </w:p>
    <w:p>
      <w:pPr>
        <w:pBdr>
          <w:bottom w:val="single" w:color="D8D2CC" w:sz="4" w:space="6"/>
        </w:pBdr>
        <w:spacing w:after="260"/>
      </w:pPr>
      <w:r>
        <w:rPr>
          <w:i/>
          <w:iCs/>
          <w:color w:val="5B6B73"/>
          <w:sz w:val="20"/>
          <w:szCs w:val="20"/>
        </w:rPr>
        <w:t xml:space="preserve">Semester Project — Final Evaluation Submission</w:t>
      </w:r>
    </w:p>
    <w:p>
      <w:pPr>
        <w:pStyle w:val="Heading1"/>
      </w:pPr>
      <w:r>
        <w:rPr>
          <w:color w:val="1C3144"/>
        </w:rPr>
        <w:t xml:space="preserve">Executive Summary</w:t>
      </w:r>
    </w:p>
    <w:p>
      <w:pPr>
        <w:spacing w:after="180" w:line="300"/>
      </w:pPr>
      <w:r>
        <w:rPr>
          <w:b w:val="false"/>
          <w:bCs w:val="false"/>
          <w:i w:val="false"/>
          <w:iCs w:val="false"/>
          <w:sz w:val="22"/>
          <w:szCs w:val="22"/>
        </w:rPr>
        <w:t xml:space="preserve">This project delivers an operational site-recommendation tool for luxury café placement in Lahore. Rather than a research prototype, the system is built as an end-to-end pipeline: it ingests raw geospatial data, engineers a city-wide feature matrix, scores every location in Lahore for café viability, removes physically unbuildable recommendations, and outputs an explainable, interactive map a business stakeholder can act on directly.</w:t>
      </w:r>
    </w:p>
    <w:p>
      <w:pPr>
        <w:spacing w:after="180" w:line="300"/>
      </w:pPr>
      <w:r>
        <w:rPr>
          <w:b w:val="false"/>
          <w:bCs w:val="false"/>
          <w:i w:val="false"/>
          <w:iCs w:val="false"/>
          <w:sz w:val="22"/>
          <w:szCs w:val="22"/>
        </w:rPr>
        <w:t xml:space="preserve">Because no off-the-shelf dataset answers this question for Lahore, the team compiled one from ten raw sources spanning OpenStreetMap, Kontur population data, and Graana real-estate listings, then unified it onto a 3,691-cell Uber H3 hexagonal grid. A Positive-Unlabeled (PU) learning strategy — XGBoost trained via a Spy and Weighted Bagging procedure — ranks every hexagon by hotspot probability, with SHAP explainability and a GIS spatial veto layer ensuring recommendations are both interpretable and physically realistic. The current output is a ranked, vetted shortlist of the top 50 candidate locations, delivered as a standalone interactive HTML map.</w:t>
      </w:r>
    </w:p>
    <w:p>
      <w:pPr>
        <w:pStyle w:val="Heading1"/>
      </w:pPr>
      <w:r>
        <w:rPr>
          <w:color w:val="1C3144"/>
        </w:rPr>
        <w:t xml:space="preserve">1. Problem Statement and Objectives</w:t>
      </w:r>
    </w:p>
    <w:p>
      <w:pPr>
        <w:spacing w:after="180" w:line="300"/>
      </w:pPr>
      <w:r>
        <w:rPr>
          <w:b w:val="false"/>
          <w:bCs w:val="false"/>
          <w:i w:val="false"/>
          <w:iCs w:val="false"/>
          <w:sz w:val="22"/>
          <w:szCs w:val="22"/>
        </w:rPr>
        <w:t xml:space="preserve">Commercial site selection for cafés and food-and-beverage outlets in Lahore is conducted almost entirely by manual scouting, intuition, and imitation of existing successful locations. This approach is slow, difficult to scale across a city of Lahore's size, and structurally biased toward areas that are already saturated — it cannot surface unclaimed, high-potential locations that no one has tried yet.</w:t>
      </w:r>
    </w:p>
    <w:p>
      <w:pPr>
        <w:spacing w:after="180" w:line="300"/>
      </w:pPr>
      <w:r>
        <w:rPr>
          <w:b w:val="false"/>
          <w:bCs w:val="false"/>
          <w:i w:val="false"/>
          <w:iCs w:val="false"/>
          <w:sz w:val="22"/>
          <w:szCs w:val="22"/>
        </w:rPr>
        <w:t xml:space="preserve">The objective of this tool is to operationalize site discovery: given a unified spatial dataset describing population, rent, road access, education, parking, and lifestyle amenities across Lahore, rank every part of the city by its likelihood of supporting a successful luxury café, and surface the strongest “blue ocean” opportunities — locations with the underlying conditions for success that the market has not yet recognized.</w:t>
      </w:r>
    </w:p>
    <w:p>
      <w:pPr>
        <w:spacing w:after="180" w:line="300"/>
      </w:pPr>
      <w:r>
        <w:rPr>
          <w:b w:val="false"/>
          <w:bCs w:val="false"/>
          <w:i/>
          <w:iCs/>
          <w:sz w:val="22"/>
          <w:szCs w:val="22"/>
        </w:rPr>
        <w:t xml:space="preserve">This is deliberately framed as a Positive-Unlabeled learning problem rather than standard binary classification: the dataset contains confirmed successes (existing cafés) but no confirmed failures, since an empty plot of land has never been tested as a café site — it is unknown, not negative.</w:t>
      </w:r>
    </w:p>
    <w:p>
      <w:pPr>
        <w:pStyle w:val="Heading1"/>
      </w:pPr>
      <w:r>
        <w:rPr>
          <w:color w:val="1C3144"/>
        </w:rPr>
        <w:t xml:space="preserve">2. Dataset and Preprocessing</w:t>
      </w:r>
    </w:p>
    <w:p>
      <w:pPr>
        <w:spacing w:after="180" w:line="300"/>
      </w:pPr>
      <w:r>
        <w:rPr>
          <w:b w:val="false"/>
          <w:bCs w:val="false"/>
          <w:i w:val="false"/>
          <w:iCs w:val="false"/>
          <w:sz w:val="22"/>
          <w:szCs w:val="22"/>
        </w:rPr>
        <w:t xml:space="preserve">No existing dataset supports geospatial café site selection in Lahore at the resolution this tool requires. The data layer was therefore built from scratch, which constituted the majority of the engineering effort on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2CC" w:sz="1"/>
              <w:left w:val="single" w:color="D8D2CC" w:sz="1"/>
              <w:bottom w:val="single" w:color="D8D2CC" w:sz="1"/>
              <w:right w:val="single" w:color="D8D2CC" w:sz="1"/>
            </w:tcBorders>
            <w:shd w:fill="1C3144" w:val="clear"/>
            <w:tcMar>
              <w:top w:type="dxa" w:w="100"/>
              <w:left w:type="dxa" w:w="140"/>
              <w:bottom w:type="dxa" w:w="100"/>
              <w:right w:type="dxa" w:w="140"/>
            </w:tcMar>
            <w:vAlign w:val="center"/>
          </w:tcPr>
          <w:p>
            <w:r>
              <w:rPr>
                <w:b/>
                <w:bCs/>
                <w:color w:val="FFFFFF"/>
                <w:sz w:val="21"/>
                <w:szCs w:val="21"/>
              </w:rPr>
              <w:t xml:space="preserve">Metric</w:t>
            </w:r>
          </w:p>
        </w:tc>
        <w:tc>
          <w:tcPr>
            <w:tcW w:type="dxa" w:w="3120"/>
            <w:tcBorders>
              <w:top w:val="single" w:color="D8D2CC" w:sz="1"/>
              <w:left w:val="single" w:color="D8D2CC" w:sz="1"/>
              <w:bottom w:val="single" w:color="D8D2CC" w:sz="1"/>
              <w:right w:val="single" w:color="D8D2CC" w:sz="1"/>
            </w:tcBorders>
            <w:shd w:fill="1C3144" w:val="clear"/>
            <w:tcMar>
              <w:top w:type="dxa" w:w="100"/>
              <w:left w:type="dxa" w:w="140"/>
              <w:bottom w:type="dxa" w:w="100"/>
              <w:right w:type="dxa" w:w="140"/>
            </w:tcMar>
            <w:vAlign w:val="center"/>
          </w:tcPr>
          <w:p>
            <w:r>
              <w:rPr>
                <w:b/>
                <w:bCs/>
                <w:color w:val="FFFFFF"/>
                <w:sz w:val="21"/>
                <w:szCs w:val="21"/>
              </w:rPr>
              <w:t xml:space="preserve">Value</w:t>
            </w:r>
          </w:p>
        </w:tc>
        <w:tc>
          <w:tcPr>
            <w:tcW w:type="dxa" w:w="3120"/>
            <w:tcBorders>
              <w:top w:val="single" w:color="D8D2CC" w:sz="1"/>
              <w:left w:val="single" w:color="D8D2CC" w:sz="1"/>
              <w:bottom w:val="single" w:color="D8D2CC" w:sz="1"/>
              <w:right w:val="single" w:color="D8D2CC" w:sz="1"/>
            </w:tcBorders>
            <w:shd w:fill="1C3144" w:val="clear"/>
            <w:tcMar>
              <w:top w:type="dxa" w:w="100"/>
              <w:left w:type="dxa" w:w="140"/>
              <w:bottom w:type="dxa" w:w="100"/>
              <w:right w:type="dxa" w:w="140"/>
            </w:tcMar>
            <w:vAlign w:val="center"/>
          </w:tcPr>
          <w:p>
            <w:r>
              <w:rPr>
                <w:b/>
                <w:bCs/>
                <w:color w:val="FFFFFF"/>
                <w:sz w:val="21"/>
                <w:szCs w:val="21"/>
              </w:rPr>
              <w:t xml:space="preserve">Notes</w:t>
            </w:r>
          </w:p>
        </w:tc>
      </w:tr>
      <w:tr>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val="false"/>
                <w:bCs w:val="false"/>
                <w:sz w:val="21"/>
                <w:szCs w:val="21"/>
              </w:rPr>
              <w:t xml:space="preserve">Raw sources merged</w:t>
            </w:r>
          </w:p>
        </w:tc>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bCs/>
                <w:color w:val="B85042"/>
                <w:sz w:val="21"/>
                <w:szCs w:val="21"/>
              </w:rPr>
              <w:t xml:space="preserve">10</w:t>
            </w:r>
          </w:p>
        </w:tc>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val="false"/>
                <w:bCs w:val="false"/>
                <w:sz w:val="21"/>
                <w:szCs w:val="21"/>
              </w:rPr>
              <w:t xml:space="preserve">OSM, Kontur, Graana, and others</w:t>
            </w:r>
          </w:p>
        </w:tc>
      </w:tr>
      <w:tr>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val="false"/>
                <w:bCs w:val="false"/>
                <w:sz w:val="21"/>
                <w:szCs w:val="21"/>
              </w:rPr>
              <w:t xml:space="preserve">Spatial grid</w:t>
            </w:r>
          </w:p>
        </w:tc>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bCs/>
                <w:color w:val="B85042"/>
                <w:sz w:val="21"/>
                <w:szCs w:val="21"/>
              </w:rPr>
              <w:t xml:space="preserve">H3 Resolution 9</w:t>
            </w:r>
          </w:p>
        </w:tc>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val="false"/>
                <w:bCs w:val="false"/>
                <w:sz w:val="21"/>
                <w:szCs w:val="21"/>
              </w:rPr>
              <w:t xml:space="preserve">~174 m hexagon edge length</w:t>
            </w:r>
          </w:p>
        </w:tc>
      </w:tr>
      <w:tr>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val="false"/>
                <w:bCs w:val="false"/>
                <w:sz w:val="21"/>
                <w:szCs w:val="21"/>
              </w:rPr>
              <w:t xml:space="preserve">Total hexagons (rows)</w:t>
            </w:r>
          </w:p>
        </w:tc>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bCs/>
                <w:color w:val="B85042"/>
                <w:sz w:val="21"/>
                <w:szCs w:val="21"/>
              </w:rPr>
              <w:t xml:space="preserve">3,691</w:t>
            </w:r>
          </w:p>
        </w:tc>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val="false"/>
                <w:bCs w:val="false"/>
                <w:sz w:val="21"/>
                <w:szCs w:val="21"/>
              </w:rPr>
              <w:t xml:space="preserve">Covering Lahore's full bounding box</w:t>
            </w:r>
          </w:p>
        </w:tc>
      </w:tr>
      <w:tr>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val="false"/>
                <w:bCs w:val="false"/>
                <w:sz w:val="21"/>
                <w:szCs w:val="21"/>
              </w:rPr>
              <w:t xml:space="preserve">Positive labels (is_hotspot = 1)</w:t>
            </w:r>
          </w:p>
        </w:tc>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bCs/>
                <w:color w:val="B85042"/>
                <w:sz w:val="21"/>
                <w:szCs w:val="21"/>
              </w:rPr>
              <w:t xml:space="preserve">275</w:t>
            </w:r>
          </w:p>
        </w:tc>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val="false"/>
                <w:bCs w:val="false"/>
                <w:sz w:val="21"/>
                <w:szCs w:val="21"/>
              </w:rPr>
              <w:t xml:space="preserve">Hexes containing a known café</w:t>
            </w:r>
          </w:p>
        </w:tc>
      </w:tr>
      <w:tr>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val="false"/>
                <w:bCs w:val="false"/>
                <w:sz w:val="21"/>
                <w:szCs w:val="21"/>
              </w:rPr>
              <w:t xml:space="preserve">Unlabeled hexes (is_hotspot = 0)</w:t>
            </w:r>
          </w:p>
        </w:tc>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bCs/>
                <w:color w:val="B85042"/>
                <w:sz w:val="21"/>
                <w:szCs w:val="21"/>
              </w:rPr>
              <w:t xml:space="preserve">3,416</w:t>
            </w:r>
          </w:p>
        </w:tc>
        <w:tc>
          <w:tcPr>
            <w:tcW w:type="dxa" w:w="312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val="false"/>
                <w:bCs w:val="false"/>
                <w:sz w:val="21"/>
                <w:szCs w:val="21"/>
              </w:rPr>
              <w:t xml:space="preserve">Class ratio ≈ 1 : 12.4</w:t>
            </w:r>
          </w:p>
        </w:tc>
      </w:tr>
      <w:tr>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val="false"/>
                <w:bCs w:val="false"/>
                <w:sz w:val="21"/>
                <w:szCs w:val="21"/>
              </w:rPr>
              <w:t xml:space="preserve">Engineered feature columns</w:t>
            </w:r>
          </w:p>
        </w:tc>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bCs/>
                <w:color w:val="B85042"/>
                <w:sz w:val="21"/>
                <w:szCs w:val="21"/>
              </w:rPr>
              <w:t xml:space="preserve">11</w:t>
            </w:r>
          </w:p>
        </w:tc>
        <w:tc>
          <w:tcPr>
            <w:tcW w:type="dxa" w:w="312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val="false"/>
                <w:bCs w:val="false"/>
                <w:sz w:val="21"/>
                <w:szCs w:val="21"/>
              </w:rPr>
              <w:t xml:space="preserve">Demographic, economic, accessibility, density, and spatial-embedding features</w:t>
            </w:r>
          </w:p>
        </w:tc>
      </w:tr>
    </w:tbl>
    <w:p>
      <w:pPr>
        <w:spacing w:before="200"/>
      </w:pPr>
    </w:p>
    <w:p>
      <w:pPr>
        <w:pStyle w:val="Heading2"/>
      </w:pPr>
      <w:r>
        <w:t xml:space="preserve">Preprocessing Pipeline</w:t>
      </w:r>
    </w:p>
    <w:p>
      <w:pPr>
        <w:pStyle w:val="ListParagraph"/>
        <w:numPr>
          <w:ilvl w:val="0"/>
          <w:numId w:val="2"/>
        </w:numPr>
        <w:spacing w:after="100" w:line="290"/>
      </w:pPr>
      <w:r>
        <w:rPr>
          <w:sz w:val="22"/>
          <w:szCs w:val="22"/>
        </w:rPr>
        <w:t xml:space="preserve">Every raw source was geocoded to lat/lon and mapped onto its H3 cell, giving every feature a common spatial key across all 10 datasets.</w:t>
      </w:r>
    </w:p>
    <w:p>
      <w:pPr>
        <w:pStyle w:val="ListParagraph"/>
        <w:numPr>
          <w:ilvl w:val="0"/>
          <w:numId w:val="2"/>
        </w:numPr>
        <w:spacing w:after="100" w:line="290"/>
      </w:pPr>
      <w:r>
        <w:rPr>
          <w:sz w:val="22"/>
          <w:szCs w:val="22"/>
        </w:rPr>
        <w:t xml:space="preserve">Population was aggregated per hex from Kontur's population layer, with coordinate reference systems explicitly reconciled (EPSG:4326 ↔ EPSG:3857) before spatial joins.</w:t>
      </w:r>
    </w:p>
    <w:p>
      <w:pPr>
        <w:pStyle w:val="ListParagraph"/>
        <w:numPr>
          <w:ilvl w:val="0"/>
          <w:numId w:val="2"/>
        </w:numPr>
        <w:spacing w:after="100" w:line="290"/>
      </w:pPr>
      <w:r>
        <w:rPr>
          <w:sz w:val="22"/>
          <w:szCs w:val="22"/>
        </w:rPr>
        <w:t xml:space="preserve">Missing rent values — common in undeveloped or non-residential hexes — were imputed using Inverse-Distance-Weighted interpolation from the nearest hexes with real listings, rather than a flat citywide average.</w:t>
      </w:r>
    </w:p>
    <w:p>
      <w:pPr>
        <w:pStyle w:val="ListParagraph"/>
        <w:numPr>
          <w:ilvl w:val="0"/>
          <w:numId w:val="2"/>
        </w:numPr>
        <w:spacing w:after="100" w:line="290"/>
      </w:pPr>
      <w:r>
        <w:rPr>
          <w:sz w:val="22"/>
          <w:szCs w:val="22"/>
        </w:rPr>
        <w:t xml:space="preserve">Road accessibility and amenity densities (commercial, education, parking, lifestyle, luxury) were computed with scipy.spatial.cKDTree for vectorized nearest-neighbor and radius queries, avoiding per-row loops at city scale.</w:t>
      </w:r>
    </w:p>
    <w:p>
      <w:pPr>
        <w:pStyle w:val="ListParagraph"/>
        <w:numPr>
          <w:ilvl w:val="0"/>
          <w:numId w:val="2"/>
        </w:numPr>
        <w:spacing w:after="100" w:line="290"/>
      </w:pPr>
      <w:r>
        <w:rPr>
          <w:sz w:val="22"/>
          <w:szCs w:val="22"/>
        </w:rPr>
        <w:t xml:space="preserve">Continuous spatial embeddings — hex centroid latitude/longitude and Haversine distance to the Liberty Roundabout CBD — were added so that no two hexes can ever share an identical feature vector, even when all other features are zero.</w:t>
      </w:r>
    </w:p>
    <w:p>
      <w:pPr>
        <w:pStyle w:val="Heading2"/>
      </w:pPr>
      <w:r>
        <w:t xml:space="preserve">Engineering Challenges Resolved</w:t>
      </w:r>
    </w:p>
    <w:p>
      <w:pPr>
        <w:spacing w:after="180" w:line="300"/>
      </w:pPr>
      <w:r>
        <w:rPr>
          <w:b w:val="false"/>
          <w:bCs w:val="false"/>
          <w:i w:val="false"/>
          <w:iCs w:val="false"/>
          <w:sz w:val="22"/>
          <w:szCs w:val="22"/>
        </w:rPr>
        <w:t xml:space="preserve">Three production-grade issues were diagnosed and fixed during data engineering, each documented for reproducibility: a coordinate-reference-system mismatch that silently produced zero population records; an Overpass API query that exploded into thousands of sub-requests and was rewritten as a single direct OverpassQL call with mirror-server fallback; and a duplicate-leaf-node problem in which 97 physically distinct hexes shared an identical feature vector, traced to KD-Tree imputation on sparse, undeveloped areas and resolved by injecting the continuous spatial embeddings described above.</w:t>
      </w:r>
    </w:p>
    <w:p>
      <w:pPr>
        <w:pStyle w:val="Heading1"/>
      </w:pPr>
      <w:r>
        <w:rPr>
          <w:color w:val="1C3144"/>
        </w:rPr>
        <w:t xml:space="preserve">3. Methodology and Models</w:t>
      </w:r>
    </w:p>
    <w:p>
      <w:pPr>
        <w:spacing w:after="180" w:line="300"/>
      </w:pPr>
      <w:r>
        <w:rPr>
          <w:b w:val="false"/>
          <w:bCs w:val="false"/>
          <w:i w:val="false"/>
          <w:iCs w:val="false"/>
          <w:sz w:val="22"/>
          <w:szCs w:val="22"/>
        </w:rPr>
        <w:t xml:space="preserve">Two models were trained on the feature matrix. A Logistic Regression model serves as the baseline. The proposed model is XGBoost, trained with a Spy and Weighted Bagging procedure designed specifically for Positive-Unlabeled data.</w:t>
      </w:r>
    </w:p>
    <w:p>
      <w:pPr>
        <w:pStyle w:val="ListParagraph"/>
        <w:numPr>
          <w:ilvl w:val="0"/>
          <w:numId w:val="2"/>
        </w:numPr>
        <w:spacing w:after="100" w:line="290"/>
      </w:pPr>
      <w:r>
        <w:rPr>
          <w:sz w:val="22"/>
          <w:szCs w:val="22"/>
        </w:rPr>
        <w:t xml:space="preserve">Spy step: a held-out fraction of known cafés is temporarily relabeled as unknown and scored, establishing a confidence threshold below which an unlabeled hex can be treated as a reliable negative.</w:t>
      </w:r>
    </w:p>
    <w:p>
      <w:pPr>
        <w:pStyle w:val="ListParagraph"/>
        <w:numPr>
          <w:ilvl w:val="0"/>
          <w:numId w:val="2"/>
        </w:numPr>
        <w:spacing w:after="100" w:line="290"/>
      </w:pPr>
      <w:r>
        <w:rPr>
          <w:sz w:val="22"/>
          <w:szCs w:val="22"/>
        </w:rPr>
        <w:t xml:space="preserve">Bagging ensemble: 100 XGBoost models are trained on balanced resamples of the reliable negatives against the known positives; their output probabilities are averaged into a single hotspot score per hex.</w:t>
      </w:r>
    </w:p>
    <w:p>
      <w:pPr>
        <w:pStyle w:val="ListParagraph"/>
        <w:numPr>
          <w:ilvl w:val="0"/>
          <w:numId w:val="2"/>
        </w:numPr>
        <w:spacing w:after="100" w:line="290"/>
      </w:pPr>
      <w:r>
        <w:rPr>
          <w:sz w:val="22"/>
          <w:szCs w:val="22"/>
        </w:rPr>
        <w:t xml:space="preserve">GIS spatial veto: the top-ranked candidate hexes are intersected with unbuildable-zone polygons (water bodies, graveyards, military zones); any hex overlapping by more than 10% is vetoed and excluded from the final shortlist.</w:t>
      </w:r>
    </w:p>
    <w:p>
      <w:pPr>
        <w:pStyle w:val="ListParagraph"/>
        <w:numPr>
          <w:ilvl w:val="0"/>
          <w:numId w:val="2"/>
        </w:numPr>
        <w:spacing w:after="100" w:line="290"/>
      </w:pPr>
      <w:r>
        <w:rPr>
          <w:sz w:val="22"/>
          <w:szCs w:val="22"/>
        </w:rPr>
        <w:t xml:space="preserve">Business Dispatch Sort: approved hexes are ranked into the final stakeholder-facing shortlist, combining the model's probability score with the GIS-approval status.</w:t>
      </w:r>
    </w:p>
    <w:p>
      <w:pPr>
        <w:spacing w:after="180" w:line="300"/>
      </w:pPr>
      <w:r>
        <w:rPr>
          <w:b w:val="false"/>
          <w:bCs w:val="false"/>
          <w:i w:val="false"/>
          <w:iCs w:val="false"/>
          <w:sz w:val="22"/>
          <w:szCs w:val="22"/>
        </w:rPr>
        <w:t xml:space="preserve">Hyperparameters (max_depth 4–6, subsample 0.8, scale_pos_weight set from the class ratio) were selected via 5-fold cross-validation, with each fold's Precision-Recall AUC reported rather than a single train/test split, given the small positive class size (275 examples).</w:t>
      </w:r>
    </w:p>
    <w:p>
      <w:pPr>
        <w:pStyle w:val="Heading1"/>
      </w:pPr>
      <w:r>
        <w:rPr>
          <w:color w:val="1C3144"/>
        </w:rPr>
        <w:t xml:space="preserve">4. Results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2CC" w:sz="1"/>
              <w:left w:val="single" w:color="D8D2CC" w:sz="1"/>
              <w:bottom w:val="single" w:color="D8D2CC" w:sz="1"/>
              <w:right w:val="single" w:color="D8D2CC" w:sz="1"/>
            </w:tcBorders>
            <w:shd w:fill="1C3144" w:val="clear"/>
            <w:tcMar>
              <w:top w:type="dxa" w:w="100"/>
              <w:left w:type="dxa" w:w="140"/>
              <w:bottom w:type="dxa" w:w="100"/>
              <w:right w:type="dxa" w:w="140"/>
            </w:tcMar>
            <w:vAlign w:val="center"/>
          </w:tcPr>
          <w:p>
            <w:r>
              <w:rPr>
                <w:b/>
                <w:bCs/>
                <w:color w:val="FFFFFF"/>
                <w:sz w:val="21"/>
                <w:szCs w:val="21"/>
              </w:rPr>
              <w:t xml:space="preserve">Model</w:t>
            </w:r>
          </w:p>
        </w:tc>
        <w:tc>
          <w:tcPr>
            <w:tcW w:type="dxa" w:w="4680"/>
            <w:tcBorders>
              <w:top w:val="single" w:color="D8D2CC" w:sz="1"/>
              <w:left w:val="single" w:color="D8D2CC" w:sz="1"/>
              <w:bottom w:val="single" w:color="D8D2CC" w:sz="1"/>
              <w:right w:val="single" w:color="D8D2CC" w:sz="1"/>
            </w:tcBorders>
            <w:shd w:fill="1C3144" w:val="clear"/>
            <w:tcMar>
              <w:top w:type="dxa" w:w="100"/>
              <w:left w:type="dxa" w:w="140"/>
              <w:bottom w:type="dxa" w:w="100"/>
              <w:right w:type="dxa" w:w="140"/>
            </w:tcMar>
            <w:vAlign w:val="center"/>
          </w:tcPr>
          <w:p>
            <w:r>
              <w:rPr>
                <w:b/>
                <w:bCs/>
                <w:color w:val="FFFFFF"/>
                <w:sz w:val="21"/>
                <w:szCs w:val="21"/>
              </w:rPr>
              <w:t xml:space="preserve">PR-AUC (5-fold mean)</w:t>
            </w:r>
          </w:p>
        </w:tc>
      </w:tr>
      <w:tr>
        <w:tc>
          <w:tcPr>
            <w:tcW w:type="dxa" w:w="468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val="false"/>
                <w:bCs w:val="false"/>
                <w:sz w:val="21"/>
                <w:szCs w:val="21"/>
              </w:rPr>
              <w:t xml:space="preserve">Logistic Regression (baseline)</w:t>
            </w:r>
          </w:p>
        </w:tc>
        <w:tc>
          <w:tcPr>
            <w:tcW w:type="dxa" w:w="4680"/>
            <w:tcBorders>
              <w:top w:val="single" w:color="D8D2CC" w:sz="1"/>
              <w:left w:val="single" w:color="D8D2CC" w:sz="1"/>
              <w:bottom w:val="single" w:color="D8D2CC" w:sz="1"/>
              <w:right w:val="single" w:color="D8D2CC" w:sz="1"/>
            </w:tcBorders>
            <w:tcMar>
              <w:top w:type="dxa" w:w="100"/>
              <w:left w:type="dxa" w:w="140"/>
              <w:bottom w:type="dxa" w:w="100"/>
              <w:right w:type="dxa" w:w="140"/>
            </w:tcMar>
            <w:vAlign w:val="center"/>
          </w:tcPr>
          <w:p>
            <w:r>
              <w:rPr>
                <w:b/>
                <w:bCs/>
                <w:sz w:val="21"/>
                <w:szCs w:val="21"/>
              </w:rPr>
              <w:t xml:space="preserve">≈ 0.31</w:t>
            </w:r>
          </w:p>
        </w:tc>
      </w:tr>
      <w:tr>
        <w:tc>
          <w:tcPr>
            <w:tcW w:type="dxa" w:w="468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val="false"/>
                <w:bCs w:val="false"/>
                <w:sz w:val="21"/>
                <w:szCs w:val="21"/>
              </w:rPr>
              <w:t xml:space="preserve">XGBoost — PU Spy + Bagging (proposed)</w:t>
            </w:r>
          </w:p>
        </w:tc>
        <w:tc>
          <w:tcPr>
            <w:tcW w:type="dxa" w:w="4680"/>
            <w:tcBorders>
              <w:top w:val="single" w:color="D8D2CC" w:sz="1"/>
              <w:left w:val="single" w:color="D8D2CC" w:sz="1"/>
              <w:bottom w:val="single" w:color="D8D2CC" w:sz="1"/>
              <w:right w:val="single" w:color="D8D2CC" w:sz="1"/>
            </w:tcBorders>
            <w:shd w:fill="F7F3F0" w:val="clear"/>
            <w:tcMar>
              <w:top w:type="dxa" w:w="100"/>
              <w:left w:type="dxa" w:w="140"/>
              <w:bottom w:type="dxa" w:w="100"/>
              <w:right w:type="dxa" w:w="140"/>
            </w:tcMar>
            <w:vAlign w:val="center"/>
          </w:tcPr>
          <w:p>
            <w:r>
              <w:rPr>
                <w:b/>
                <w:bCs/>
                <w:sz w:val="21"/>
                <w:szCs w:val="21"/>
              </w:rPr>
              <w:t xml:space="preserve">≈ 0.24</w:t>
            </w:r>
          </w:p>
        </w:tc>
      </w:tr>
    </w:tbl>
    <w:p>
      <w:pPr>
        <w:spacing w:after="80" w:before="160"/>
      </w:pPr>
      <w:r>
        <w:rPr>
          <w:b/>
          <w:bCs/>
          <w:color w:val="B85042"/>
          <w:sz w:val="22"/>
          <w:szCs w:val="22"/>
        </w:rPr>
        <w:t xml:space="preserve">The PU Evaluation Paradox</w:t>
      </w:r>
    </w:p>
    <w:p>
      <w:pPr>
        <w:spacing w:after="180" w:line="300"/>
      </w:pPr>
      <w:r>
        <w:rPr>
          <w:b w:val="false"/>
          <w:bCs w:val="false"/>
          <w:i w:val="false"/>
          <w:iCs w:val="false"/>
          <w:sz w:val="22"/>
          <w:szCs w:val="22"/>
        </w:rPr>
        <w:t xml:space="preserve">The proposed model scores lower than the baseline on PR-AUC. This is an expected and documented property of Positive-Unlabeled evaluation, not a modeling defect: PR-AUC treats every unlabeled hex as a confirmed negative, so the metric penalizes XGBoost precisely when it succeeds at its core task — confidently identifying a hidden, previously unrecognized hotspot. This limitation is acknowledged in the PU-learning literature (Elkan and Noto, 2008) and is addressed here through qualitative validation rather than relying on a single aggregate metric.</w:t>
      </w:r>
    </w:p>
    <w:p>
      <w:pPr>
        <w:spacing w:after="180" w:line="300"/>
      </w:pPr>
      <w:r>
        <w:rPr>
          <w:b w:val="false"/>
          <w:bCs w:val="false"/>
          <w:i w:val="false"/>
          <w:iCs w:val="false"/>
          <w:sz w:val="22"/>
          <w:szCs w:val="22"/>
        </w:rPr>
        <w:t xml:space="preserve">Qualitative validation includes per-hex SHAP explanations — surfaced directly in the map's popup interface — showing which features (e.g., rent, luxury-amenity density, population) drove each recommendation, and a successful real-world catch by the GIS veto layer, which correctly flagged and removed a top-ranked candidate hex overlapping Pir Makki Graveyard before it reached the final shortlist.</w:t>
      </w:r>
    </w:p>
    <w:p>
      <w:pPr>
        <w:spacing w:after="180" w:line="300"/>
      </w:pPr>
      <w:r>
        <w:rPr>
          <w:b w:val="false"/>
          <w:bCs w:val="false"/>
          <w:i w:val="false"/>
          <w:iCs w:val="false"/>
          <w:sz w:val="22"/>
          <w:szCs w:val="22"/>
        </w:rPr>
        <w:t xml:space="preserve">Operational outputs of this stage: predictions.csv (every hex with baseline and proposed-model scores), masked_predictions.csv (GIS-filtered shortlist with veto status), shap_values_top50.csv (explainability matrix), and the saved model artifact xgb_pu_model.json for reproducible scoring of new or updated data.</w:t>
      </w:r>
    </w:p>
    <w:p>
      <w:pPr>
        <w:pStyle w:val="Heading1"/>
      </w:pPr>
      <w:r>
        <w:rPr>
          <w:color w:val="1C3144"/>
        </w:rPr>
        <w:t xml:space="preserve">5. Demo, Conclusion, and Future Work</w:t>
      </w:r>
    </w:p>
    <w:p>
      <w:pPr>
        <w:spacing w:after="180" w:line="300"/>
      </w:pPr>
      <w:r>
        <w:rPr>
          <w:b w:val="false"/>
          <w:bCs w:val="false"/>
          <w:i w:val="false"/>
          <w:iCs w:val="false"/>
          <w:sz w:val="22"/>
          <w:szCs w:val="22"/>
        </w:rPr>
        <w:t xml:space="preserve">The deliverable demonstrated live is lahore_site_map.html: a self-contained interactive map layering the 275 known cafés as ground truth against the top 50 GIS-approved recommended hexes, each with a clickable popup showing its probability score, raw feature values, and SHAP-driven explanation of that score.</w:t>
      </w:r>
    </w:p>
    <w:p>
      <w:pPr>
        <w:spacing w:after="180" w:line="300"/>
      </w:pPr>
      <w:r>
        <w:rPr>
          <w:b w:val="false"/>
          <w:bCs w:val="false"/>
          <w:i w:val="false"/>
          <w:iCs w:val="false"/>
          <w:sz w:val="22"/>
          <w:szCs w:val="22"/>
        </w:rPr>
        <w:t xml:space="preserve">As delivered, this is a working operational tool rather than a closed academic exercise: every stage — data ingestion, feature engineering, model training, spatial filtering, and visualization — is a standalone, re-runnable script, so the recommendation set can be refreshed as new OpenStreetMap or real-estate data becomes available, without re-architecting the pipeline.</w:t>
      </w:r>
    </w:p>
    <w:p>
      <w:pPr>
        <w:pStyle w:val="Heading2"/>
      </w:pPr>
      <w:r>
        <w:t xml:space="preserve">Future Work</w:t>
      </w:r>
    </w:p>
    <w:p>
      <w:pPr>
        <w:pStyle w:val="ListParagraph"/>
        <w:numPr>
          <w:ilvl w:val="0"/>
          <w:numId w:val="2"/>
        </w:numPr>
        <w:spacing w:after="100" w:line="290"/>
      </w:pPr>
      <w:r>
        <w:rPr>
          <w:sz w:val="22"/>
          <w:szCs w:val="22"/>
        </w:rPr>
        <w:t xml:space="preserve">Temporal foot-traffic signals (time-of-day and weekday/weekend variation), since the current model scores each location as a static snapshot.</w:t>
      </w:r>
    </w:p>
    <w:p>
      <w:pPr>
        <w:pStyle w:val="ListParagraph"/>
        <w:numPr>
          <w:ilvl w:val="0"/>
          <w:numId w:val="2"/>
        </w:numPr>
        <w:spacing w:after="100" w:line="290"/>
      </w:pPr>
      <w:r>
        <w:rPr>
          <w:sz w:val="22"/>
          <w:szCs w:val="22"/>
        </w:rPr>
        <w:t xml:space="preserve">Spatial cannibalization modeling, to prevent the system from recommending multiple excellent but mutually competing sites in immediate proximity to one another.</w:t>
      </w:r>
    </w:p>
    <w:p>
      <w:pPr>
        <w:pStyle w:val="ListParagraph"/>
        <w:numPr>
          <w:ilvl w:val="0"/>
          <w:numId w:val="2"/>
        </w:numPr>
        <w:spacing w:after="100" w:line="290"/>
      </w:pPr>
      <w:r>
        <w:rPr>
          <w:sz w:val="22"/>
          <w:szCs w:val="22"/>
        </w:rPr>
        <w:t xml:space="preserve">Portability to other cities: the pipeline is parameterized by bounding box and CBD coordinate, and could be re-pointed at another city given an equivalent set of local real-estate and points-of-interest data sources.</w:t>
      </w:r>
    </w:p>
    <w:p>
      <w:pPr>
        <w:pStyle w:val="ListParagraph"/>
        <w:numPr>
          <w:ilvl w:val="0"/>
          <w:numId w:val="2"/>
        </w:numPr>
        <w:spacing w:after="100" w:line="290"/>
      </w:pPr>
      <w:r>
        <w:rPr>
          <w:sz w:val="22"/>
          <w:szCs w:val="22"/>
        </w:rPr>
        <w:t xml:space="preserve">A scheduled refresh cadence for the underlying data sources, so recommendations stay current as Lahore's real estate and amenity landscape changes.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5042" w:sz="6" w:space="4"/>
      </w:pBdr>
      <w:spacing w:after="200" w:before="360"/>
      <w:outlineLvl w:val="0"/>
    </w:pPr>
    <w:rPr>
      <w:rFonts w:ascii="Arial" w:cs="Arial" w:eastAsia="Arial" w:hAnsi="Arial"/>
      <w:b/>
      <w:bCs/>
      <w:color w:val="1C314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B8504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2026-06-17T19:25:10.189Z</dcterms:created>
  <dcterms:modified xsi:type="dcterms:W3CDTF">2026-06-17T19:25:10.189Z</dcterms:modified>
</cp:coreProperties>
</file>

<file path=docProps/custom.xml><?xml version="1.0" encoding="utf-8"?>
<Properties xmlns="http://schemas.openxmlformats.org/officeDocument/2006/custom-properties" xmlns:vt="http://schemas.openxmlformats.org/officeDocument/2006/docPropsVTypes"/>
</file>