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421"/>
        <w:gridCol w:w="767"/>
        <w:gridCol w:w="928"/>
        <w:gridCol w:w="1562"/>
        <w:gridCol w:w="923"/>
        <w:gridCol w:w="1419"/>
        <w:gridCol w:w="1021"/>
        <w:gridCol w:w="864"/>
        <w:gridCol w:w="839"/>
        <w:gridCol w:w="596"/>
        <w:gridCol w:w="961"/>
        <w:gridCol w:w="1224"/>
      </w:tblGrid>
      <w:tr w:rsidR="00C11149" w:rsidRPr="00C11149" w14:paraId="75559169" w14:textId="77777777" w:rsidTr="00442447">
        <w:trPr>
          <w:tblHeader/>
        </w:trPr>
        <w:tc>
          <w:tcPr>
            <w:tcW w:w="0" w:type="auto"/>
            <w:tcBorders>
              <w:tl2br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01620B" w14:textId="7375308D" w:rsidR="00244180" w:rsidRPr="00C11149" w:rsidRDefault="00C11149" w:rsidP="00442447">
            <w:pPr>
              <w:tabs>
                <w:tab w:val="left" w:pos="144"/>
                <w:tab w:val="right" w:pos="1536"/>
              </w:tabs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="00442447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to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br/>
            </w:r>
            <w:r w:rsidR="00442447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="00244180" w:rsidRPr="00C11149">
              <w:rPr>
                <w:rFonts w:eastAsia="Times New Roman"/>
                <w:b/>
                <w:bCs/>
                <w:sz w:val="20"/>
                <w:szCs w:val="20"/>
              </w:rPr>
              <w:t>from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61AFB0A" w14:textId="0335F041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AutoNumber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41D8D91" w14:textId="474E99AC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Binary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CCD2D6" w14:textId="2D6A2DD6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Boolean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C12972" w14:textId="787C12C6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Date</w:t>
            </w:r>
            <w:r w:rsidR="00442447">
              <w:rPr>
                <w:rFonts w:eastAsia="Times New Roman"/>
                <w:b/>
                <w:bCs/>
                <w:sz w:val="20"/>
                <w:szCs w:val="20"/>
              </w:rPr>
              <w:t xml:space="preserve"> and </w:t>
            </w: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5FBBC0" w14:textId="3F74CD46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4B29D94" w14:textId="23C5CD9C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Enum</w:t>
            </w:r>
            <w:r w:rsidR="00442447">
              <w:rPr>
                <w:rFonts w:eastAsia="Times New Roman"/>
                <w:b/>
                <w:bCs/>
                <w:sz w:val="20"/>
                <w:szCs w:val="20"/>
              </w:rPr>
              <w:t>eration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53EEA9" w14:textId="3940FE5F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Float/</w:t>
            </w:r>
            <w:r w:rsidR="00C11149">
              <w:rPr>
                <w:rFonts w:eastAsia="Times New Roman"/>
                <w:b/>
                <w:bCs/>
                <w:sz w:val="20"/>
                <w:szCs w:val="20"/>
              </w:rPr>
              <w:br/>
            </w: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Currency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F7B690" w14:textId="101D228D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Hash</w:t>
            </w:r>
            <w:r w:rsidR="00442447">
              <w:rPr>
                <w:rFonts w:eastAsia="Times New Roman"/>
                <w:b/>
                <w:bCs/>
                <w:sz w:val="20"/>
                <w:szCs w:val="20"/>
              </w:rPr>
              <w:t>ed</w:t>
            </w:r>
            <w:r w:rsidR="00442447">
              <w:rPr>
                <w:rFonts w:eastAsia="Times New Roman"/>
                <w:b/>
                <w:bCs/>
                <w:sz w:val="20"/>
                <w:szCs w:val="20"/>
              </w:rPr>
              <w:br/>
            </w: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B23A51B" w14:textId="7D3199EC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Integer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81BAC6" w14:textId="72EAE11A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Long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E72016" w14:textId="6722CFA2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String</w:t>
            </w:r>
            <w:r w:rsidR="00C11149">
              <w:rPr>
                <w:rFonts w:eastAsia="Times New Roman"/>
                <w:b/>
                <w:bCs/>
                <w:sz w:val="20"/>
                <w:szCs w:val="20"/>
              </w:rPr>
              <w:br/>
            </w: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(limited)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C6C3E2" w14:textId="190159AC" w:rsidR="00244180" w:rsidRPr="00C11149" w:rsidRDefault="00244180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String</w:t>
            </w:r>
            <w:r w:rsidR="00C11149">
              <w:rPr>
                <w:rFonts w:eastAsia="Times New Roman"/>
                <w:b/>
                <w:bCs/>
                <w:sz w:val="20"/>
                <w:szCs w:val="20"/>
              </w:rPr>
              <w:br/>
            </w:r>
            <w:r w:rsidRPr="00C11149">
              <w:rPr>
                <w:rFonts w:eastAsia="Times New Roman"/>
                <w:b/>
                <w:bCs/>
                <w:sz w:val="20"/>
                <w:szCs w:val="20"/>
              </w:rPr>
              <w:t>(unlimited)</w:t>
            </w:r>
          </w:p>
        </w:tc>
      </w:tr>
      <w:tr w:rsidR="00C11149" w:rsidRPr="00C11149" w14:paraId="312F0606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B860F4" w14:textId="23DD3A66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AutoNumber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6C5B91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0184F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F56056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219A020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20D17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210234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2680A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023996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0C110E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B2843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8766C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7EEBF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0F489C85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406DCDB" w14:textId="79163245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Binary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53C51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BD66EA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B21EB2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46662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CA725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912A9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1C3C3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3F2E3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DD208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D363430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7CD80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779308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</w:tr>
      <w:tr w:rsidR="00C11149" w:rsidRPr="00C11149" w14:paraId="6A61ECE0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FA94120" w14:textId="63936B63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346C4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2A98D0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E35462B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D1BAF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FE32F4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F58E5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624EF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77C056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E88960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2EB07D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99508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B3EB9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3</w:t>
            </w:r>
          </w:p>
        </w:tc>
      </w:tr>
      <w:tr w:rsidR="00C11149" w:rsidRPr="00C11149" w14:paraId="13BA0B96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C9323A" w14:textId="65334900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Date</w:t>
            </w:r>
            <w:r w:rsidR="00442447">
              <w:rPr>
                <w:rStyle w:val="Strong"/>
                <w:rFonts w:eastAsia="Times New Roman"/>
                <w:sz w:val="20"/>
                <w:szCs w:val="20"/>
              </w:rPr>
              <w:t xml:space="preserve"> and </w:t>
            </w:r>
            <w:r w:rsidRPr="00C11149">
              <w:rPr>
                <w:rStyle w:val="Strong"/>
                <w:rFonts w:eastAsia="Times New Roman"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98C7A4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2FBFF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E5057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101EEB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7EF20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184D3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56F9D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BAA1A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BD8CF5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96887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FDBA2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DB7F94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</w:tr>
      <w:tr w:rsidR="00C11149" w:rsidRPr="00C11149" w14:paraId="367F787B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5B4385" w14:textId="6E4214D8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Decimal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3A30D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67074AF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39297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F9073D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697616F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81DAF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B9B7C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CB3D4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FAC8A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F06BCF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64C66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1D48D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3525A6B5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3DD881" w14:textId="5913EA81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Enum</w:t>
            </w:r>
            <w:r w:rsidR="009765B8">
              <w:rPr>
                <w:rStyle w:val="Strong"/>
                <w:rFonts w:eastAsia="Times New Roman"/>
                <w:sz w:val="20"/>
                <w:szCs w:val="20"/>
              </w:rPr>
              <w:t>eration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6A7B431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B881C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357C88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B4819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DD421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F3C84CF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BFABA1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27FC5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4080F3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43D602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9E1BE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9A1F44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5</w:t>
            </w:r>
          </w:p>
        </w:tc>
      </w:tr>
      <w:tr w:rsidR="00C11149" w:rsidRPr="00C11149" w14:paraId="3BAA8FCC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0792FD8" w14:textId="7BBA438F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Float/Currency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42D2CE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1FDBE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431CC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AB3060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FB4CA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B8842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B28BB4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4A679C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19B2EE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62F26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FAA39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1621AC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25F33760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5B6BD7" w14:textId="2125DC0C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Hash</w:t>
            </w:r>
            <w:r w:rsidR="00442447">
              <w:rPr>
                <w:rStyle w:val="Strong"/>
                <w:rFonts w:eastAsia="Times New Roman"/>
                <w:sz w:val="20"/>
                <w:szCs w:val="20"/>
              </w:rPr>
              <w:t>ed</w:t>
            </w:r>
            <w:r w:rsidR="00442447">
              <w:rPr>
                <w:rStyle w:val="Strong"/>
              </w:rPr>
              <w:t xml:space="preserve"> </w:t>
            </w:r>
            <w:r w:rsidRPr="00C11149">
              <w:rPr>
                <w:rStyle w:val="Strong"/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44CBB4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147A5D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B2D13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B114B8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18C43E0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D14D88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C4231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83E87A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7A5B2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08926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E671E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4ADADD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034CE8FA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EA013AC" w14:textId="362017A0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1F975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FE713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4A7884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BFE2D80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12487A1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73F65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BE530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8505B1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384DB1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09327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E24E7D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E9C58F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00476C88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92731F" w14:textId="08372FA4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Long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573DD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ED0A5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B2C19D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BA703D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70A39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4079A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D87AC1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E1156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FF6C6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EEB703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FB0C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5D8F1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033082B6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F1B4498" w14:textId="482B6A3D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String (limited)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42354F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8020A3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070E5E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31B7B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611882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F5FBD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CAF498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B16395E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A3B64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99551D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722D00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7354F4F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ascii="Segoe UI Symbol" w:eastAsia="Times New Roman" w:hAnsi="Segoe UI Symbol" w:cs="Segoe UI Symbol"/>
                <w:b w:val="0"/>
                <w:sz w:val="20"/>
                <w:szCs w:val="20"/>
              </w:rPr>
              <w:t>✓</w:t>
            </w:r>
          </w:p>
        </w:tc>
      </w:tr>
      <w:tr w:rsidR="00C11149" w:rsidRPr="00C11149" w14:paraId="0FFB27A9" w14:textId="77777777" w:rsidTr="00442447"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134101" w14:textId="449780D3" w:rsidR="00244180" w:rsidRPr="00C11149" w:rsidRDefault="00244180" w:rsidP="00C11149">
            <w:pPr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sz w:val="20"/>
                <w:szCs w:val="20"/>
              </w:rPr>
              <w:t>String (unlimited)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8B1A8BF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A368A7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1F28A2A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0AB2946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5B4F3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6FB340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E077675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58741D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6B886C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B5D9C3B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13F6D29" w14:textId="77777777" w:rsidR="00244180" w:rsidRPr="00C11149" w:rsidRDefault="0024418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</w:rPr>
              <w:t>*</w:t>
            </w:r>
            <w:r w:rsidRPr="00C11149">
              <w:rPr>
                <w:rStyle w:val="Strong"/>
                <w:rFonts w:eastAsia="Times New Roman"/>
                <w:b w:val="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4B7CAF" w14:textId="77777777" w:rsidR="00244180" w:rsidRPr="00C11149" w:rsidRDefault="0024418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F06CADC" w14:textId="7C14797C" w:rsidR="00C11149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[1]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Conversion only possible if length &gt;= 20.</w:t>
      </w:r>
    </w:p>
    <w:p w14:paraId="2C88F913" w14:textId="388577D1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[2]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Conversion only possible if length &gt;= 5. Converted to a string by the database, so the value for true and false differs per database.</w:t>
      </w:r>
    </w:p>
    <w:p w14:paraId="1DC81EFA" w14:textId="73526ACF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[3]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Converted to a string by the database, so the value differs per database.</w:t>
      </w:r>
    </w:p>
    <w:p w14:paraId="215924D4" w14:textId="3BD877E4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[4]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The name of the enumeration value will be used. The value will be shortened to the right length if it does not fit in the new type.</w:t>
      </w:r>
    </w:p>
    <w:p w14:paraId="73E6A1D8" w14:textId="7A7C46DB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[5]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The name of the enumeration value will be used.</w:t>
      </w:r>
    </w:p>
    <w:p w14:paraId="71DBCA96" w14:textId="65559872" w:rsidR="00244180" w:rsidRPr="00D45D1D" w:rsidRDefault="00244180" w:rsidP="00566D04">
      <w:pPr>
        <w:spacing w:before="120"/>
        <w:ind w:left="284" w:hanging="284"/>
        <w:rPr>
          <w:rFonts w:ascii="Times New Roman" w:eastAsia="Times New Roman" w:hAnsi="Times New Roman"/>
        </w:rPr>
      </w:pPr>
      <w:r w:rsidRPr="00C11149">
        <w:rPr>
          <w:sz w:val="20"/>
          <w:szCs w:val="20"/>
          <w:vertAlign w:val="superscript"/>
          <w:lang w:val="en"/>
        </w:rPr>
        <w:t>[6]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="00D45D1D" w:rsidRPr="00D45D1D">
        <w:rPr>
          <w:sz w:val="20"/>
          <w:szCs w:val="20"/>
          <w:lang w:val="en"/>
        </w:rPr>
        <w:t>Conversion only possible for actual values that have at most 20 digits before the decimal point</w:t>
      </w:r>
      <w:r w:rsidR="005B6629">
        <w:rPr>
          <w:sz w:val="20"/>
          <w:szCs w:val="20"/>
          <w:lang w:val="en"/>
        </w:rPr>
        <w:t>. L</w:t>
      </w:r>
      <w:r w:rsidR="00D45D1D" w:rsidRPr="00D45D1D">
        <w:rPr>
          <w:sz w:val="20"/>
          <w:szCs w:val="20"/>
          <w:lang w:val="en"/>
        </w:rPr>
        <w:t>arger values will be replaced with the default value of the attribute. Only the first 8 digits of the fractional part (after the decimal point) are converted.</w:t>
      </w:r>
    </w:p>
    <w:p w14:paraId="17F7C4B8" w14:textId="0CB74862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[7]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Conversion only possible if length &gt;= 24.</w:t>
      </w:r>
    </w:p>
    <w:p w14:paraId="174293CC" w14:textId="6E607EC9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[8]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r w:rsidRPr="00C11149">
        <w:rPr>
          <w:sz w:val="20"/>
          <w:szCs w:val="20"/>
          <w:lang w:val="en"/>
        </w:rPr>
        <w:t>The value will be shortened to the right length if it does not fit in the new type.</w:t>
      </w:r>
    </w:p>
    <w:p w14:paraId="702CC17D" w14:textId="06ECE527" w:rsidR="00244180" w:rsidRPr="00C11149" w:rsidRDefault="00244180" w:rsidP="00566D04">
      <w:pPr>
        <w:pStyle w:val="NormalWeb"/>
        <w:spacing w:before="120" w:beforeAutospacing="0" w:after="0" w:afterAutospacing="0"/>
        <w:ind w:left="284" w:hanging="284"/>
        <w:rPr>
          <w:sz w:val="20"/>
          <w:szCs w:val="20"/>
          <w:lang w:val="en"/>
        </w:rPr>
      </w:pPr>
      <w:r w:rsidRPr="00C11149">
        <w:rPr>
          <w:sz w:val="20"/>
          <w:szCs w:val="20"/>
          <w:vertAlign w:val="superscript"/>
          <w:lang w:val="en"/>
        </w:rPr>
        <w:t>[9]</w:t>
      </w:r>
      <w:r w:rsidRPr="00C11149">
        <w:rPr>
          <w:sz w:val="20"/>
          <w:szCs w:val="20"/>
          <w:lang w:val="en"/>
        </w:rPr>
        <w:t xml:space="preserve"> </w:t>
      </w:r>
      <w:r w:rsidR="00566D04">
        <w:rPr>
          <w:sz w:val="20"/>
          <w:szCs w:val="20"/>
          <w:lang w:val="en"/>
        </w:rPr>
        <w:tab/>
      </w:r>
      <w:bookmarkStart w:id="0" w:name="_GoBack"/>
      <w:bookmarkEnd w:id="0"/>
      <w:r w:rsidRPr="00C11149">
        <w:rPr>
          <w:sz w:val="20"/>
          <w:szCs w:val="20"/>
          <w:lang w:val="en"/>
        </w:rPr>
        <w:t>Conversion only possible if length &gt;= 11.</w:t>
      </w:r>
    </w:p>
    <w:p w14:paraId="0007C416" w14:textId="7F9F30FF" w:rsidR="00C550CE" w:rsidRDefault="00C550CE">
      <w:pPr>
        <w:rPr>
          <w:lang w:val="en"/>
        </w:rPr>
      </w:pPr>
    </w:p>
    <w:p w14:paraId="1927905D" w14:textId="1DD9FEA7" w:rsidR="00F53929" w:rsidRDefault="00F53929">
      <w:pPr>
        <w:rPr>
          <w:lang w:val="en"/>
        </w:rPr>
      </w:pPr>
    </w:p>
    <w:p w14:paraId="4F0B0F5B" w14:textId="77777777" w:rsidR="00F53929" w:rsidRPr="00244180" w:rsidRDefault="00F53929">
      <w:pPr>
        <w:rPr>
          <w:lang w:val="en"/>
        </w:rPr>
      </w:pPr>
    </w:p>
    <w:sectPr w:rsidR="00F53929" w:rsidRPr="00244180" w:rsidSect="005B6629">
      <w:pgSz w:w="16838" w:h="11906" w:orient="landscape"/>
      <w:pgMar w:top="720" w:right="167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80"/>
    <w:rsid w:val="00244180"/>
    <w:rsid w:val="00442447"/>
    <w:rsid w:val="00566D04"/>
    <w:rsid w:val="005B6629"/>
    <w:rsid w:val="009765B8"/>
    <w:rsid w:val="00990F0E"/>
    <w:rsid w:val="00C11149"/>
    <w:rsid w:val="00C550CE"/>
    <w:rsid w:val="00D45D1D"/>
    <w:rsid w:val="00EB4836"/>
    <w:rsid w:val="00F5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DC03"/>
  <w15:chartTrackingRefBased/>
  <w15:docId w15:val="{48502F0A-D9B6-42DE-A16A-03001C2D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49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1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4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ndix">
      <a:dk1>
        <a:srgbClr val="000000"/>
      </a:dk1>
      <a:lt1>
        <a:srgbClr val="FFFFFF"/>
      </a:lt1>
      <a:dk2>
        <a:srgbClr val="555555"/>
      </a:dk2>
      <a:lt2>
        <a:srgbClr val="F5F5F5"/>
      </a:lt2>
      <a:accent1>
        <a:srgbClr val="0595DB"/>
      </a:accent1>
      <a:accent2>
        <a:srgbClr val="F99D1D"/>
      </a:accent2>
      <a:accent3>
        <a:srgbClr val="888888"/>
      </a:accent3>
      <a:accent4>
        <a:srgbClr val="EA202D"/>
      </a:accent4>
      <a:accent5>
        <a:srgbClr val="48B0F7"/>
      </a:accent5>
      <a:accent6>
        <a:srgbClr val="76CA02"/>
      </a:accent6>
      <a:hlink>
        <a:srgbClr val="0595DB"/>
      </a:hlink>
      <a:folHlink>
        <a:srgbClr val="888888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Ments</dc:creator>
  <cp:keywords/>
  <dc:description/>
  <cp:lastModifiedBy>Mark van Ments</cp:lastModifiedBy>
  <cp:revision>6</cp:revision>
  <cp:lastPrinted>2019-06-04T13:13:00Z</cp:lastPrinted>
  <dcterms:created xsi:type="dcterms:W3CDTF">2019-04-23T12:38:00Z</dcterms:created>
  <dcterms:modified xsi:type="dcterms:W3CDTF">2019-06-04T13:18:00Z</dcterms:modified>
</cp:coreProperties>
</file>