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黑体" w:cstheme="majorBidi"/>
          <w:b/>
          <w:bCs/>
          <w:kern w:val="2"/>
          <w:sz w:val="32"/>
          <w:szCs w:val="32"/>
          <w:lang w:val="en-US" w:eastAsia="zh-CN" w:bidi="ar-SA"/>
        </w:rPr>
      </w:pPr>
      <w:r>
        <w:rPr>
          <w:rFonts w:hint="default" w:ascii="Times New Roman" w:hAnsi="Times New Roman" w:eastAsia="黑体" w:cstheme="majorBidi"/>
          <w:b/>
          <w:bCs/>
          <w:kern w:val="2"/>
          <w:sz w:val="32"/>
          <w:szCs w:val="32"/>
          <w:lang w:val="en-US" w:eastAsia="zh-CN" w:bidi="ar-SA"/>
        </w:rPr>
        <w:t>1.1</w:t>
      </w:r>
      <w:r>
        <w:rPr>
          <w:rFonts w:hint="eastAsia" w:ascii="Times New Roman" w:hAnsi="Times New Roman" w:eastAsia="黑体" w:cstheme="majorBidi"/>
          <w:b/>
          <w:bCs/>
          <w:kern w:val="2"/>
          <w:sz w:val="32"/>
          <w:szCs w:val="32"/>
          <w:lang w:val="en-US" w:eastAsia="zh-CN" w:bidi="ar-SA"/>
        </w:rPr>
        <w:t>电机与驱动器</w:t>
      </w:r>
      <w:bookmarkStart w:id="0" w:name="_GoBack"/>
      <w:bookmarkEnd w:id="0"/>
    </w:p>
    <w:p>
      <w:pPr>
        <w:rPr>
          <w:rFonts w:hint="eastAsia"/>
          <w:sz w:val="28"/>
          <w:szCs w:val="28"/>
          <w:lang w:val="en-US" w:eastAsia="zh-CN"/>
        </w:rPr>
      </w:pPr>
      <w:r>
        <w:rPr>
          <w:rFonts w:hint="default" w:ascii="黑体" w:hAnsi="黑体" w:eastAsia="黑体" w:cstheme="minorBidi"/>
          <w:b/>
          <w:bCs/>
          <w:color w:val="000000" w:themeColor="text1"/>
          <w:kern w:val="2"/>
          <w:sz w:val="28"/>
          <w:szCs w:val="32"/>
          <w:lang w:val="en-US" w:eastAsia="zh-CN" w:bidi="ar-SA"/>
          <w14:textFill>
            <w14:solidFill>
              <w14:schemeClr w14:val="tx1"/>
            </w14:solidFill>
          </w14:textFill>
        </w:rPr>
        <w:t>1.1.1</w:t>
      </w:r>
      <w: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t>电机、驱动器选型</w:t>
      </w:r>
    </w:p>
    <w:p>
      <w:pPr>
        <w:snapToGrid w:val="0"/>
        <w:spacing w:before="81" w:beforeLines="25" w:after="81" w:afterLines="25" w:line="300" w:lineRule="auto"/>
        <w:ind w:firstLine="480" w:firstLineChars="200"/>
        <w:rPr>
          <w:rFonts w:hint="eastAsia"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所采用的电机型号为</w:t>
      </w:r>
      <w:r>
        <w:rPr>
          <w:rFonts w:hint="default" w:ascii="Times New Roman" w:hAnsi="Times New Roman" w:eastAsia="宋体"/>
          <w:color w:val="000000" w:themeColor="text1"/>
          <w:sz w:val="24"/>
          <w:szCs w:val="22"/>
          <w:lang w:val="en-US" w:eastAsia="zh-CN"/>
          <w14:textFill>
            <w14:solidFill>
              <w14:schemeClr w14:val="tx1"/>
            </w14:solidFill>
          </w14:textFill>
        </w:rPr>
        <w:t>SGM7J-xxAFC6S-</w:t>
      </w:r>
      <w:r>
        <w:rPr>
          <w:rFonts w:hint="eastAsia" w:ascii="Times New Roman" w:hAnsi="Times New Roman" w:eastAsia="宋体"/>
          <w:color w:val="000000" w:themeColor="text1"/>
          <w:sz w:val="24"/>
          <w:szCs w:val="22"/>
          <w:lang w:val="en-US" w:eastAsia="zh-CN"/>
          <w14:textFill>
            <w14:solidFill>
              <w14:schemeClr w14:val="tx1"/>
            </w14:solidFill>
          </w14:textFill>
        </w:rPr>
        <w:t>旋转伺服电机，驱动器型号为</w:t>
      </w:r>
      <w:r>
        <w:rPr>
          <w:rFonts w:hint="default" w:ascii="Times New Roman" w:hAnsi="Times New Roman" w:eastAsia="宋体"/>
          <w:color w:val="000000" w:themeColor="text1"/>
          <w:sz w:val="24"/>
          <w:szCs w:val="22"/>
          <w:lang w:val="en-US" w:eastAsia="zh-CN"/>
          <w14:textFill>
            <w14:solidFill>
              <w14:schemeClr w14:val="tx1"/>
            </w14:solidFill>
          </w14:textFill>
        </w:rPr>
        <w:t>SGD7S-xxx00A002</w:t>
      </w:r>
      <w:r>
        <w:rPr>
          <w:rFonts w:hint="eastAsia" w:ascii="Times New Roman" w:hAnsi="Times New Roman" w:eastAsia="宋体"/>
          <w:color w:val="000000" w:themeColor="text1"/>
          <w:sz w:val="24"/>
          <w:szCs w:val="22"/>
          <w:lang w:val="en-US" w:eastAsia="zh-CN"/>
          <w14:textFill>
            <w14:solidFill>
              <w14:schemeClr w14:val="tx1"/>
            </w14:solidFill>
          </w14:textFill>
        </w:rPr>
        <w:t>，均为安川电机有限公司的产品。</w:t>
      </w:r>
    </w:p>
    <w:p>
      <w:pPr>
        <w:snapToGrid w:val="0"/>
        <w:spacing w:before="81" w:beforeLines="25" w:after="81" w:afterLines="25" w:line="300" w:lineRule="auto"/>
        <w:ind w:firstLine="480" w:firstLineChars="200"/>
        <w:rPr>
          <w:rFonts w:hint="default" w:ascii="Times New Roman" w:hAnsi="Times New Roman" w:eastAsia="宋体"/>
          <w:color w:val="000000" w:themeColor="text1"/>
          <w:sz w:val="24"/>
          <w:szCs w:val="22"/>
          <w:lang w:val="en-US" w:eastAsia="zh-CN"/>
          <w14:textFill>
            <w14:solidFill>
              <w14:schemeClr w14:val="tx1"/>
            </w14:solidFill>
          </w14:textFill>
        </w:rPr>
      </w:pPr>
      <w:r>
        <w:rPr>
          <w:rFonts w:hint="default" w:ascii="Times New Roman" w:hAnsi="Times New Roman" w:eastAsia="宋体"/>
          <w:color w:val="000000" w:themeColor="text1"/>
          <w:sz w:val="24"/>
          <w:szCs w:val="22"/>
          <w:lang w:val="en-US" w:eastAsia="zh-CN"/>
          <w14:textFill>
            <w14:solidFill>
              <w14:schemeClr w14:val="tx1"/>
            </w14:solidFill>
          </w14:textFill>
        </w:rPr>
        <w:t>SGM7J</w:t>
      </w:r>
      <w:r>
        <w:rPr>
          <w:rFonts w:hint="eastAsia" w:ascii="Times New Roman" w:hAnsi="Times New Roman" w:eastAsia="宋体"/>
          <w:color w:val="000000" w:themeColor="text1"/>
          <w:sz w:val="24"/>
          <w:szCs w:val="22"/>
          <w:lang w:val="en-US" w:eastAsia="zh-CN"/>
          <w14:textFill>
            <w14:solidFill>
              <w14:schemeClr w14:val="tx1"/>
            </w14:solidFill>
          </w14:textFill>
        </w:rPr>
        <w:t>型号的伺服电机（除去日本生产品）为永磁电机，功率密度和传动效率高；该型号的电机额定转速为</w:t>
      </w:r>
      <w:r>
        <w:rPr>
          <w:rFonts w:hint="default" w:ascii="Times New Roman" w:hAnsi="Times New Roman" w:eastAsia="宋体"/>
          <w:color w:val="000000" w:themeColor="text1"/>
          <w:sz w:val="24"/>
          <w:szCs w:val="22"/>
          <w:lang w:val="en-US" w:eastAsia="zh-CN"/>
          <w14:textFill>
            <w14:solidFill>
              <w14:schemeClr w14:val="tx1"/>
            </w14:solidFill>
          </w14:textFill>
        </w:rPr>
        <w:t>3000min-1</w:t>
      </w:r>
      <w:r>
        <w:rPr>
          <w:rFonts w:hint="eastAsia" w:ascii="Times New Roman" w:hAnsi="Times New Roman" w:eastAsia="宋体"/>
          <w:color w:val="000000" w:themeColor="text1"/>
          <w:sz w:val="24"/>
          <w:szCs w:val="22"/>
          <w:lang w:val="en-US" w:eastAsia="zh-CN"/>
          <w14:textFill>
            <w14:solidFill>
              <w14:schemeClr w14:val="tx1"/>
            </w14:solidFill>
          </w14:textFill>
        </w:rPr>
        <w:t>，最高转速为</w:t>
      </w:r>
      <w:r>
        <w:rPr>
          <w:rFonts w:hint="default" w:ascii="Times New Roman" w:hAnsi="Times New Roman" w:eastAsia="宋体"/>
          <w:color w:val="000000" w:themeColor="text1"/>
          <w:sz w:val="24"/>
          <w:szCs w:val="22"/>
          <w:lang w:val="en-US" w:eastAsia="zh-CN"/>
          <w14:textFill>
            <w14:solidFill>
              <w14:schemeClr w14:val="tx1"/>
            </w14:solidFill>
          </w14:textFill>
        </w:rPr>
        <w:t>6000min-1</w:t>
      </w:r>
      <w:r>
        <w:rPr>
          <w:rFonts w:hint="eastAsia" w:ascii="Times New Roman" w:hAnsi="Times New Roman" w:eastAsia="宋体"/>
          <w:color w:val="000000" w:themeColor="text1"/>
          <w:sz w:val="24"/>
          <w:szCs w:val="22"/>
          <w:lang w:val="en-US" w:eastAsia="zh-CN"/>
          <w14:textFill>
            <w14:solidFill>
              <w14:schemeClr w14:val="tx1"/>
            </w14:solidFill>
          </w14:textFill>
        </w:rPr>
        <w:t>，符合机械天线产生</w:t>
      </w:r>
      <w:r>
        <w:rPr>
          <w:rFonts w:hint="default" w:ascii="Times New Roman" w:hAnsi="Times New Roman" w:eastAsia="宋体"/>
          <w:color w:val="000000" w:themeColor="text1"/>
          <w:sz w:val="24"/>
          <w:szCs w:val="22"/>
          <w:lang w:val="en-US" w:eastAsia="zh-CN"/>
          <w14:textFill>
            <w14:solidFill>
              <w14:schemeClr w14:val="tx1"/>
            </w14:solidFill>
          </w14:textFill>
        </w:rPr>
        <w:t>SLF</w:t>
      </w:r>
      <w:r>
        <w:rPr>
          <w:rFonts w:hint="eastAsia" w:ascii="Times New Roman" w:hAnsi="Times New Roman" w:eastAsia="宋体"/>
          <w:color w:val="000000" w:themeColor="text1"/>
          <w:sz w:val="24"/>
          <w:szCs w:val="22"/>
          <w:lang w:val="en-US" w:eastAsia="zh-CN"/>
          <w14:textFill>
            <w14:solidFill>
              <w14:schemeClr w14:val="tx1"/>
            </w14:solidFill>
          </w14:textFill>
        </w:rPr>
        <w:t>频段的信号的要求，配有</w:t>
      </w:r>
      <w:r>
        <w:rPr>
          <w:rFonts w:hint="default" w:ascii="Times New Roman" w:hAnsi="Times New Roman" w:eastAsia="宋体"/>
          <w:color w:val="000000" w:themeColor="text1"/>
          <w:sz w:val="24"/>
          <w:szCs w:val="22"/>
          <w:lang w:val="en-US" w:eastAsia="zh-CN"/>
          <w14:textFill>
            <w14:solidFill>
              <w14:schemeClr w14:val="tx1"/>
            </w14:solidFill>
          </w14:textFill>
        </w:rPr>
        <w:t>24</w:t>
      </w:r>
      <w:r>
        <w:rPr>
          <w:rFonts w:hint="eastAsia" w:ascii="Times New Roman" w:hAnsi="Times New Roman" w:eastAsia="宋体"/>
          <w:color w:val="000000" w:themeColor="text1"/>
          <w:sz w:val="24"/>
          <w:szCs w:val="22"/>
          <w:lang w:val="en-US" w:eastAsia="zh-CN"/>
          <w14:textFill>
            <w14:solidFill>
              <w14:schemeClr w14:val="tx1"/>
            </w14:solidFill>
          </w14:textFill>
        </w:rPr>
        <w:t>位增量型串行编码器；为中惯量、高速水平的电机，减小了因非刚性传动连接造成的电机运行状态产生误差，能够保证较高的控制精度。</w:t>
      </w:r>
    </w:p>
    <w:p>
      <w:pPr>
        <w:snapToGrid w:val="0"/>
        <w:spacing w:before="81" w:beforeLines="25" w:after="81" w:afterLines="25" w:line="300" w:lineRule="auto"/>
        <w:ind w:firstLine="480" w:firstLineChars="200"/>
        <w:rPr>
          <w:rFonts w:hint="default"/>
          <w:sz w:val="24"/>
          <w:szCs w:val="24"/>
          <w:vertAlign w:val="baseline"/>
          <w:lang w:val="en-US" w:eastAsia="zh-CN"/>
        </w:rPr>
      </w:pPr>
      <w:r>
        <w:rPr>
          <w:rFonts w:hint="eastAsia" w:ascii="Times New Roman" w:hAnsi="Times New Roman" w:eastAsia="宋体"/>
          <w:color w:val="000000" w:themeColor="text1"/>
          <w:sz w:val="24"/>
          <w:szCs w:val="22"/>
          <w:lang w:val="en-US" w:eastAsia="zh-CN"/>
          <w14:textFill>
            <w14:solidFill>
              <w14:schemeClr w14:val="tx1"/>
            </w14:solidFill>
          </w14:textFill>
        </w:rPr>
        <w:t>对应的驱动器为模拟量电压、脉冲序列指令型，便于输入不同频率的方波信号控制永磁电机的转速；支持单相和三相输入，利于在实验室支持单相</w:t>
      </w:r>
      <w:r>
        <w:rPr>
          <w:rFonts w:hint="default" w:ascii="Times New Roman" w:hAnsi="Times New Roman" w:eastAsia="宋体"/>
          <w:color w:val="000000" w:themeColor="text1"/>
          <w:sz w:val="24"/>
          <w:szCs w:val="22"/>
          <w:lang w:val="en-US" w:eastAsia="zh-CN"/>
          <w14:textFill>
            <w14:solidFill>
              <w14:schemeClr w14:val="tx1"/>
            </w14:solidFill>
          </w14:textFill>
        </w:rPr>
        <w:t>220V</w:t>
      </w:r>
      <w:r>
        <w:rPr>
          <w:rFonts w:hint="eastAsia" w:ascii="Times New Roman" w:hAnsi="Times New Roman" w:eastAsia="宋体"/>
          <w:color w:val="000000" w:themeColor="text1"/>
          <w:sz w:val="24"/>
          <w:szCs w:val="22"/>
          <w:lang w:val="en-US" w:eastAsia="zh-CN"/>
          <w14:textFill>
            <w14:solidFill>
              <w14:schemeClr w14:val="tx1"/>
            </w14:solidFill>
          </w14:textFill>
        </w:rPr>
        <w:t>交流的供电条件下使用。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olor w:val="0000FF"/>
          <w:sz w:val="24"/>
          <w:szCs w:val="24"/>
          <w:lang w:val="en-US" w:eastAsia="zh-CN"/>
        </w:rPr>
      </w:pPr>
      <w:r>
        <w:rPr>
          <w:rFonts w:hint="eastAsia"/>
          <w:color w:val="0000FF"/>
          <w:sz w:val="24"/>
          <w:szCs w:val="24"/>
          <w:lang w:val="en-US" w:eastAsia="zh-CN"/>
        </w:rPr>
        <w:t>电机型号待定的两位对应不同的额定输出，由负载永磁体决定（见图1）</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4915535" cy="27717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5535" cy="2771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2" w:firstLineChars="200"/>
        <w:jc w:val="center"/>
        <w:textAlignment w:val="auto"/>
        <w:rPr>
          <w:rFonts w:hint="eastAsia"/>
          <w:lang w:val="en-US" w:eastAsia="zh-CN"/>
        </w:rPr>
      </w:pPr>
      <w:r>
        <w:rPr>
          <w:rFonts w:hint="eastAsia" w:ascii="Times New Roman" w:hAnsi="Times New Roman" w:eastAsia="宋体" w:cstheme="minorBidi"/>
          <w:b/>
          <w:bCs/>
          <w:kern w:val="28"/>
          <w:sz w:val="21"/>
          <w:szCs w:val="32"/>
          <w:lang w:val="en-US" w:eastAsia="zh-CN" w:bidi="ar-SA"/>
        </w:rPr>
        <w:t xml:space="preserve"> 图1.1.1SGM7J型电机各型号</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heme="minorHAnsi" w:eastAsiaTheme="minorEastAsia"/>
          <w:color w:val="0000FF"/>
          <w:sz w:val="24"/>
          <w:szCs w:val="24"/>
          <w:lang w:val="en-US" w:eastAsia="zh-CN"/>
        </w:rPr>
      </w:pPr>
      <w:r>
        <w:rPr>
          <w:rFonts w:hint="eastAsia" w:asciiTheme="minorHAnsi" w:eastAsiaTheme="minorEastAsia"/>
          <w:color w:val="0000FF"/>
          <w:sz w:val="24"/>
          <w:szCs w:val="24"/>
          <w:lang w:val="en-US" w:eastAsia="zh-CN"/>
        </w:rPr>
        <w:t>决定下电机型号后，即可决定驱动器待定的三位（见表1）。</w:t>
      </w:r>
    </w:p>
    <w:p>
      <w:pPr>
        <w:jc w:val="center"/>
        <w:rPr>
          <w:rFonts w:hint="default" w:asciiTheme="minorHAnsi" w:eastAsiaTheme="minorEastAsia"/>
          <w:color w:val="0000FF"/>
          <w:sz w:val="24"/>
          <w:szCs w:val="24"/>
          <w:lang w:val="en-US" w:eastAsia="zh-CN"/>
        </w:rPr>
      </w:pPr>
      <w:r>
        <w:rPr>
          <w:rFonts w:hint="eastAsia" w:ascii="Times New Roman" w:hAnsi="Times New Roman" w:eastAsia="宋体" w:cstheme="minorBidi"/>
          <w:b/>
          <w:bCs/>
          <w:kern w:val="28"/>
          <w:sz w:val="21"/>
          <w:szCs w:val="32"/>
          <w:lang w:val="en-US" w:eastAsia="zh-CN" w:bidi="ar-SA"/>
        </w:rPr>
        <w:t>表1.1.1旋转型伺服电机与伺服单元的组合</w:t>
      </w:r>
    </w:p>
    <w:tbl>
      <w:tblPr>
        <w:tblStyle w:val="6"/>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SGM7J旋转型伺服电机型号</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容量</w:t>
            </w:r>
          </w:p>
        </w:tc>
        <w:tc>
          <w:tcPr>
            <w:tcW w:w="315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伺服单元型号SGD7S-</w:t>
            </w:r>
            <w:r>
              <w:rPr>
                <w:rFonts w:hint="eastAsia"/>
                <w:vertAlign w:val="baseline"/>
                <w:lang w:val="en-US" w:eastAsia="zh-CN"/>
              </w:rPr>
              <w:sym w:font="Wingdings 2" w:char="00A3"/>
            </w:r>
            <w:r>
              <w:rPr>
                <w:rFonts w:hint="eastAsia"/>
                <w:vertAlign w:val="baseline"/>
                <w:lang w:val="en-US" w:eastAsia="zh-CN"/>
              </w:rPr>
              <w:sym w:font="Wingdings 2" w:char="00A3"/>
            </w:r>
            <w:r>
              <w:rPr>
                <w:rFonts w:hint="eastAsia"/>
                <w:vertAlign w:val="baseline"/>
                <w:lang w:val="en-US" w:eastAsia="zh-CN"/>
              </w:rPr>
              <w:sym w:font="Wingdings 2" w:char="00A3"/>
            </w:r>
            <w:r>
              <w:rPr>
                <w:rFonts w:hint="eastAsia"/>
                <w:vertAlign w:val="baseline"/>
                <w:lang w:val="en-US" w:eastAsia="zh-CN"/>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SGM7J-01A</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100W</w:t>
            </w:r>
          </w:p>
        </w:tc>
        <w:tc>
          <w:tcPr>
            <w:tcW w:w="315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R90A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SGM7J-02A</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200W</w:t>
            </w:r>
          </w:p>
        </w:tc>
        <w:tc>
          <w:tcPr>
            <w:tcW w:w="315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1R6A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SGM7J-04A</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400W</w:t>
            </w:r>
          </w:p>
        </w:tc>
        <w:tc>
          <w:tcPr>
            <w:tcW w:w="315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2R8A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SGM7J-08A</w:t>
            </w:r>
          </w:p>
        </w:tc>
        <w:tc>
          <w:tcPr>
            <w:tcW w:w="284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750W</w:t>
            </w:r>
          </w:p>
        </w:tc>
        <w:tc>
          <w:tcPr>
            <w:tcW w:w="315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5R5A</w:t>
            </w:r>
          </w:p>
        </w:tc>
      </w:tr>
    </w:tbl>
    <w:p>
      <w:pPr>
        <w:rPr>
          <w:rFonts w:hint="eastAsia"/>
          <w:sz w:val="28"/>
          <w:szCs w:val="28"/>
          <w:lang w:val="en-US" w:eastAsia="zh-CN"/>
        </w:rPr>
      </w:pPr>
      <w:r>
        <w:rPr>
          <w:rFonts w:hint="default" w:ascii="黑体" w:hAnsi="黑体" w:eastAsia="黑体" w:cstheme="minorBidi"/>
          <w:b/>
          <w:bCs/>
          <w:color w:val="000000" w:themeColor="text1"/>
          <w:kern w:val="2"/>
          <w:sz w:val="28"/>
          <w:szCs w:val="32"/>
          <w:lang w:val="en-US" w:eastAsia="zh-CN" w:bidi="ar-SA"/>
          <w14:textFill>
            <w14:solidFill>
              <w14:schemeClr w14:val="tx1"/>
            </w14:solidFill>
          </w14:textFill>
        </w:rPr>
        <w:t>1.1.2</w:t>
      </w:r>
      <w: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t>电机与驱动器连接</w:t>
      </w:r>
    </w:p>
    <w:p>
      <w:pP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pPr>
      <w:r>
        <w:rPr>
          <w:rFonts w:hint="default" w:ascii="黑体" w:hAnsi="黑体" w:eastAsia="黑体" w:cstheme="minorBidi"/>
          <w:b/>
          <w:bCs/>
          <w:color w:val="000000" w:themeColor="text1"/>
          <w:kern w:val="2"/>
          <w:sz w:val="28"/>
          <w:szCs w:val="32"/>
          <w:lang w:val="en-US" w:eastAsia="zh-CN" w:bidi="ar-SA"/>
          <w14:textFill>
            <w14:solidFill>
              <w14:schemeClr w14:val="tx1"/>
            </w14:solidFill>
          </w14:textFill>
        </w:rPr>
        <w:t>1.1.3 SigmaWin+</w:t>
      </w:r>
      <w: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t>的安装与使用</w:t>
      </w:r>
    </w:p>
    <w:p>
      <w:pP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pPr>
      <w:r>
        <w:rPr>
          <w:rFonts w:hint="eastAsia" w:ascii="黑体" w:hAnsi="黑体" w:eastAsia="黑体" w:cstheme="minorBidi"/>
          <w:b/>
          <w:bCs/>
          <w:color w:val="000000" w:themeColor="text1"/>
          <w:kern w:val="2"/>
          <w:sz w:val="28"/>
          <w:szCs w:val="32"/>
          <w:lang w:val="en-US" w:eastAsia="zh-CN" w:bidi="ar-SA"/>
          <w14:textFill>
            <w14:solidFill>
              <w14:schemeClr w14:val="tx1"/>
            </w14:solidFill>
          </w14:textFill>
        </w:rPr>
        <w:t>1.1.4伺服系统安全注意事项</w:t>
      </w:r>
    </w:p>
    <w:p>
      <w:pPr>
        <w:snapToGrid w:val="0"/>
        <w:spacing w:before="81" w:beforeLines="25" w:after="81" w:afterLines="25" w:line="300" w:lineRule="auto"/>
        <w:ind w:firstLine="480" w:firstLineChars="200"/>
        <w:rPr>
          <w:rFonts w:hint="eastAsia"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正确进行接线，务必将伺服单元及伺服电机的接地端子与接地极连接（D种接地）。</w:t>
      </w:r>
    </w:p>
    <w:p>
      <w:pPr>
        <w:snapToGrid w:val="0"/>
        <w:spacing w:before="81" w:beforeLines="25" w:after="81" w:afterLines="25" w:line="300" w:lineRule="auto"/>
        <w:ind w:firstLine="480" w:firstLineChars="200"/>
        <w:rPr>
          <w:rFonts w:hint="default"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开始运行前，需进行相应的参数设置；通电过程中禁止变更接线；注意高速旋转时需要将电机牢牢固定，否则突然加速启动可能会使电机自己扭动，极易拉伤线缆，确保固定后在进行速度的提升。</w:t>
      </w:r>
    </w:p>
    <w:p>
      <w:pPr>
        <w:snapToGrid w:val="0"/>
        <w:spacing w:before="81" w:beforeLines="25" w:after="81" w:afterLines="25" w:line="300" w:lineRule="auto"/>
        <w:ind w:firstLine="480" w:firstLineChars="200"/>
        <w:rPr>
          <w:rFonts w:hint="default" w:ascii="Times New Roman" w:hAnsi="Times New Roman" w:eastAsia="宋体"/>
          <w:color w:val="000000" w:themeColor="text1"/>
          <w:sz w:val="24"/>
          <w:szCs w:val="22"/>
          <w:lang w:val="en-US" w:eastAsia="zh-CN"/>
          <w14:textFill>
            <w14:solidFill>
              <w14:schemeClr w14:val="tx1"/>
            </w14:solidFill>
          </w14:textFill>
        </w:rPr>
      </w:pPr>
      <w:r>
        <w:rPr>
          <w:rFonts w:hint="default" w:ascii="Times New Roman" w:hAnsi="Times New Roman" w:eastAsia="宋体"/>
          <w:color w:val="000000" w:themeColor="text1"/>
          <w:sz w:val="24"/>
          <w:szCs w:val="22"/>
          <w:lang w:val="en-US" w:eastAsia="zh-CN"/>
          <w14:textFill>
            <w14:solidFill>
              <w14:schemeClr w14:val="tx1"/>
            </w14:solidFill>
          </w14:textFill>
        </w:rPr>
        <w:t>伺服驱动器的显示屏或者SigmaWin+，有时会提示警报，不要慌张，看清出警报的内容，如A.941，A.80等，可能是电机接线不稳导致过载，可能是电源输入用的单相电，但是SigmaWin+中的参数还没修改，导致报错，具体的内容网上搜索安川伺服警报代码，不同的问题不同解决方案。</w:t>
      </w:r>
    </w:p>
    <w:p>
      <w:pPr>
        <w:snapToGrid w:val="0"/>
        <w:spacing w:before="81" w:beforeLines="25" w:after="81" w:afterLines="25" w:line="300" w:lineRule="auto"/>
        <w:ind w:firstLine="480" w:firstLineChars="200"/>
        <w:rPr>
          <w:rFonts w:hint="eastAsia" w:ascii="黑体" w:hAnsi="黑体"/>
          <w:lang w:val="en-US" w:eastAsia="zh-CN"/>
        </w:rPr>
      </w:pPr>
      <w:r>
        <w:rPr>
          <w:rFonts w:hint="eastAsia" w:ascii="Times New Roman" w:hAnsi="Times New Roman" w:eastAsia="宋体"/>
          <w:color w:val="000000" w:themeColor="text1"/>
          <w:sz w:val="24"/>
          <w:szCs w:val="22"/>
          <w:lang w:val="en-US" w:eastAsia="zh-CN"/>
          <w14:textFill>
            <w14:solidFill>
              <w14:schemeClr w14:val="tx1"/>
            </w14:solidFill>
          </w14:textFill>
        </w:rPr>
        <w:t>电源刚刚切断时，伺服单元的散热片、再生电阻器等可能会处于高温状态，为避免手及电缆等部件意外碰触，应采用安装安全外罩等安全措施，避免烫伤。</w:t>
      </w:r>
      <w:r>
        <w:rPr>
          <w:rFonts w:hint="eastAsia" w:ascii="Times New Roman" w:hAnsi="Times New Roman" w:eastAsia="黑体" w:cstheme="majorBidi"/>
          <w:b/>
          <w:bCs/>
          <w:kern w:val="2"/>
          <w:sz w:val="32"/>
          <w:szCs w:val="32"/>
          <w:lang w:val="en-US" w:eastAsia="zh-CN" w:bidi="ar-SA"/>
        </w:rPr>
        <w:t>1.2磁屏蔽模块</w:t>
      </w:r>
    </w:p>
    <w:p>
      <w:pPr>
        <w:snapToGrid w:val="0"/>
        <w:spacing w:before="81" w:beforeLines="25" w:after="81" w:afterLines="25" w:line="300" w:lineRule="auto"/>
        <w:ind w:firstLine="480" w:firstLineChars="200"/>
        <w:rPr>
          <w:rFonts w:hint="eastAsia"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磁屏蔽模块主要由磁阻线圈与升压电路两部分组成。磁阻线圈用于在接收外部电压信号的同时实现对磁场强度的改变，升压电路作为磁阻线圈与FPGA的中间耦合模块，用于放大电压信号以实现对线圈电流的控制作用。</w:t>
      </w:r>
    </w:p>
    <w:p>
      <w:pPr>
        <w:snapToGrid w:val="0"/>
        <w:spacing w:before="81" w:beforeLines="25" w:after="81" w:afterLines="25" w:line="300" w:lineRule="auto"/>
        <w:ind w:firstLine="480" w:firstLineChars="200"/>
        <w:rPr>
          <w:rFonts w:hint="default"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 xml:space="preserve">  </w:t>
      </w:r>
      <w:r>
        <w:rPr>
          <w:rFonts w:hint="default" w:ascii="Times New Roman" w:hAnsi="Times New Roman" w:eastAsia="宋体"/>
          <w:color w:val="000000" w:themeColor="text1"/>
          <w:sz w:val="24"/>
          <w:szCs w:val="22"/>
          <w:lang w:val="en-US" w:eastAsia="zh-CN"/>
          <w14:textFill>
            <w14:solidFill>
              <w14:schemeClr w14:val="tx1"/>
            </w14:solidFill>
          </w14:textFill>
        </w:rPr>
        <w:object>
          <v:shape id="_x0000_i1025" o:spt="75" alt="" type="#_x0000_t75" style="height:147.55pt;width:344.35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snapToGrid w:val="0"/>
        <w:spacing w:before="81" w:beforeLines="25" w:after="81" w:afterLines="25" w:line="300" w:lineRule="auto"/>
        <w:jc w:val="center"/>
        <w:rPr>
          <w:rFonts w:hint="default"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stheme="minorBidi"/>
          <w:b/>
          <w:bCs/>
          <w:kern w:val="28"/>
          <w:sz w:val="21"/>
          <w:szCs w:val="32"/>
          <w:lang w:val="en-US" w:eastAsia="zh-CN" w:bidi="ar-SA"/>
        </w:rPr>
        <w:t>图1.2磁屏蔽模块组成图</w:t>
      </w:r>
    </w:p>
    <w:p>
      <w:pPr>
        <w:snapToGrid w:val="0"/>
        <w:spacing w:before="81" w:beforeLines="25" w:after="81" w:afterLines="25" w:line="300" w:lineRule="auto"/>
        <w:rPr>
          <w:rFonts w:hint="eastAsia" w:ascii="Times New Roman" w:hAnsi="Times New Roman" w:eastAsia="宋体" w:cstheme="minorBidi"/>
          <w:b/>
          <w:bCs/>
          <w:color w:val="000000" w:themeColor="text1"/>
          <w:kern w:val="2"/>
          <w:sz w:val="28"/>
          <w:szCs w:val="32"/>
          <w:lang w:val="en-US" w:eastAsia="zh-CN" w:bidi="ar-SA"/>
          <w14:textFill>
            <w14:solidFill>
              <w14:schemeClr w14:val="tx1"/>
            </w14:solidFill>
          </w14:textFill>
        </w:rPr>
      </w:pPr>
      <w:r>
        <w:rPr>
          <w:rFonts w:hint="eastAsia" w:ascii="Times New Roman" w:hAnsi="Times New Roman" w:eastAsia="宋体" w:cstheme="minorBidi"/>
          <w:b/>
          <w:bCs/>
          <w:color w:val="000000" w:themeColor="text1"/>
          <w:kern w:val="2"/>
          <w:sz w:val="28"/>
          <w:szCs w:val="32"/>
          <w:lang w:val="en-US" w:eastAsia="zh-CN" w:bidi="ar-SA"/>
          <w14:textFill>
            <w14:solidFill>
              <w14:schemeClr w14:val="tx1"/>
            </w14:solidFill>
          </w14:textFill>
        </w:rPr>
        <w:t>1.2.1磁阻线圈</w:t>
      </w:r>
    </w:p>
    <w:p>
      <w:pPr>
        <w:snapToGrid w:val="0"/>
        <w:spacing w:before="81" w:beforeLines="25" w:after="81" w:afterLines="25" w:line="300" w:lineRule="auto"/>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bCs/>
          <w:color w:val="000000" w:themeColor="text1"/>
          <w:kern w:val="2"/>
          <w:sz w:val="28"/>
          <w:szCs w:val="32"/>
          <w:lang w:val="en-US" w:eastAsia="zh-CN" w:bidi="ar-SA"/>
          <w14:textFill>
            <w14:solidFill>
              <w14:schemeClr w14:val="tx1"/>
            </w14:solidFill>
          </w14:textFill>
        </w:rPr>
        <w:t xml:space="preserve">   </w:t>
      </w: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磁阻线圈工作的主要原理是通过外加电源电压，使得包围在磁阻材料外部的载流线圈内产生电流进而形成磁场，接着根据磁阻材料本身所具有的磁滞效应，即在外加磁场的作用下磁阻材料的磁导率会随着磁场强度的大小发生改变，再在永磁体磁场的极化作用下实现对于永磁体磁场的屏蔽作用。</w:t>
      </w:r>
    </w:p>
    <w:p>
      <w:pPr>
        <w:snapToGrid w:val="0"/>
        <w:spacing w:before="81" w:beforeLines="25" w:after="81" w:afterLines="25" w:line="300" w:lineRule="auto"/>
        <w:ind w:firstLine="480" w:firstLineChars="200"/>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磁阻线圈需要具有良好磁滞效应的磁阻材料以增强对磁场的实时屏蔽作用，也需要内阻损耗较小的载流线圈在输入电压控制信号的同时减小线圈内部的热损耗。基于此，我们对磁阻材料以及线圈材料的选取做了相关调研。</w:t>
      </w:r>
    </w:p>
    <w:tbl>
      <w:tblPr>
        <w:tblStyle w:val="6"/>
        <w:tblpPr w:leftFromText="180" w:rightFromText="180" w:vertAnchor="text" w:horzAnchor="page" w:tblpX="1501" w:tblpY="1843"/>
        <w:tblOverlap w:val="never"/>
        <w:tblW w:w="9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911"/>
        <w:gridCol w:w="1911"/>
        <w:gridCol w:w="1912"/>
        <w:gridCol w:w="1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材料型号</w:t>
            </w:r>
          </w:p>
        </w:tc>
        <w:tc>
          <w:tcPr>
            <w:tcW w:w="1911" w:type="dxa"/>
            <w:vAlign w:val="center"/>
          </w:tcPr>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初始磁导率</w:t>
            </w:r>
          </w:p>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（mH/m）</w:t>
            </w:r>
          </w:p>
        </w:tc>
        <w:tc>
          <w:tcPr>
            <w:tcW w:w="1911" w:type="dxa"/>
            <w:vAlign w:val="center"/>
          </w:tcPr>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最大磁导率</w:t>
            </w:r>
          </w:p>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（mH/m）</w:t>
            </w:r>
          </w:p>
        </w:tc>
        <w:tc>
          <w:tcPr>
            <w:tcW w:w="1912" w:type="dxa"/>
            <w:vAlign w:val="center"/>
          </w:tcPr>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矫顽力</w:t>
            </w:r>
          </w:p>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（A/m）</w:t>
            </w:r>
          </w:p>
        </w:tc>
        <w:tc>
          <w:tcPr>
            <w:tcW w:w="1912" w:type="dxa"/>
            <w:vAlign w:val="center"/>
          </w:tcPr>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饱和磁感应强度</w:t>
            </w:r>
          </w:p>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11" w:type="dxa"/>
            <w:vAlign w:val="center"/>
          </w:tcPr>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坡莫合金</w:t>
            </w:r>
          </w:p>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（1J85）</w:t>
            </w:r>
          </w:p>
        </w:tc>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25.0</w:t>
            </w:r>
          </w:p>
        </w:tc>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125</w:t>
            </w:r>
          </w:p>
        </w:tc>
        <w:tc>
          <w:tcPr>
            <w:tcW w:w="1912"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2.4</w:t>
            </w:r>
          </w:p>
        </w:tc>
        <w:tc>
          <w:tcPr>
            <w:tcW w:w="1912"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MuMETAL（1J79）</w:t>
            </w:r>
          </w:p>
        </w:tc>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22.5</w:t>
            </w:r>
          </w:p>
        </w:tc>
        <w:tc>
          <w:tcPr>
            <w:tcW w:w="1911"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100</w:t>
            </w:r>
          </w:p>
        </w:tc>
        <w:tc>
          <w:tcPr>
            <w:tcW w:w="1912"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3.6</w:t>
            </w:r>
          </w:p>
        </w:tc>
        <w:tc>
          <w:tcPr>
            <w:tcW w:w="1912" w:type="dxa"/>
            <w:vAlign w:val="center"/>
          </w:tcPr>
          <w:p>
            <w:pPr>
              <w:snapToGrid w:val="0"/>
              <w:spacing w:before="81" w:beforeLines="25" w:after="81" w:afterLines="25" w:line="300" w:lineRule="auto"/>
              <w:jc w:val="center"/>
              <w:rPr>
                <w:rFonts w:hint="default"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vertAlign w:val="baseline"/>
                <w:lang w:val="en-US" w:eastAsia="zh-CN" w:bidi="ar-SA"/>
                <w14:textFill>
                  <w14:solidFill>
                    <w14:schemeClr w14:val="tx1"/>
                  </w14:solidFill>
                </w14:textFill>
              </w:rPr>
              <w:t>0.70</w:t>
            </w:r>
          </w:p>
        </w:tc>
      </w:tr>
    </w:tbl>
    <w:p>
      <w:pPr>
        <w:snapToGrid w:val="0"/>
        <w:spacing w:before="81" w:beforeLines="25" w:after="81" w:afterLines="25" w:line="300" w:lineRule="auto"/>
        <w:ind w:firstLine="480" w:firstLineChars="200"/>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磁阻材料的选取需要考虑材料本身的剩磁性能、矫顽力、磁通密度、损耗性等多个方面。基于对市面上主流磁阻材料的筛选，坡莫合金与MuMETAL材料比较适合作为本实验的磁屏蔽材料。</w:t>
      </w:r>
    </w:p>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bCs/>
          <w:kern w:val="28"/>
          <w:sz w:val="21"/>
          <w:szCs w:val="32"/>
          <w:lang w:val="en-US" w:eastAsia="zh-CN" w:bidi="ar-SA"/>
        </w:rPr>
        <w:t>表1.磁阻材料的性质参数</w:t>
      </w:r>
    </w:p>
    <w:p>
      <w:pPr>
        <w:snapToGrid w:val="0"/>
        <w:spacing w:before="81" w:beforeLines="25" w:after="81" w:afterLines="25" w:line="300" w:lineRule="auto"/>
        <w:ind w:firstLine="480" w:firstLineChars="200"/>
        <w:jc w:val="left"/>
        <w:rPr>
          <w:rFonts w:hint="default"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其中矫顽力反映了材料的剩磁性能，而对于屏蔽材料，需要在电压信号切断时迅速使磁性消失，因此具有较小矫顽力的材料更适合平台的使用。在这两种材料中坡莫合金的矫顽力相对较小，同时其磁导率的可调节范围相对较大，因此更适合作为本平台的磁阻材料。而对于线圈材料，由于铜导线的内阻相对较小且成本较低，所以我们将采用铜制导线作为载流线圈的主要材料。</w:t>
      </w:r>
    </w:p>
    <w:p>
      <w:pPr>
        <w:snapToGrid w:val="0"/>
        <w:spacing w:before="81" w:beforeLines="25" w:after="81" w:afterLines="25" w:line="300" w:lineRule="auto"/>
        <w:jc w:val="left"/>
        <w:rPr>
          <w:rFonts w:hint="eastAsia" w:ascii="Times New Roman" w:hAnsi="Times New Roman" w:eastAsia="宋体" w:cstheme="minorBidi"/>
          <w:b/>
          <w:bCs/>
          <w:kern w:val="2"/>
          <w:sz w:val="28"/>
          <w:szCs w:val="32"/>
          <w:lang w:val="en-US" w:eastAsia="zh-CN" w:bidi="ar-SA"/>
        </w:rPr>
      </w:pPr>
      <w:r>
        <w:rPr>
          <w:rFonts w:hint="eastAsia" w:ascii="Times New Roman" w:hAnsi="Times New Roman" w:eastAsia="宋体" w:cstheme="minorBidi"/>
          <w:b/>
          <w:bCs/>
          <w:kern w:val="2"/>
          <w:sz w:val="28"/>
          <w:szCs w:val="32"/>
          <w:lang w:val="en-US" w:eastAsia="zh-CN" w:bidi="ar-SA"/>
        </w:rPr>
        <w:t>1.2.2升压电路</w:t>
      </w:r>
    </w:p>
    <w:p>
      <w:pPr>
        <w:snapToGrid w:val="0"/>
        <w:spacing w:before="81" w:beforeLines="25" w:after="81" w:afterLines="25" w:line="300" w:lineRule="auto"/>
        <w:ind w:firstLine="480" w:firstLineChars="200"/>
        <w:rPr>
          <w:rFonts w:hint="eastAsia" w:ascii="Times New Roman" w:hAnsi="Times New Roman" w:eastAsia="宋体"/>
          <w:color w:val="000000" w:themeColor="text1"/>
          <w:sz w:val="24"/>
          <w:szCs w:val="22"/>
          <w:lang w:val="en-US" w:eastAsia="zh-CN"/>
          <w14:textFill>
            <w14:solidFill>
              <w14:schemeClr w14:val="tx1"/>
            </w14:solidFill>
          </w14:textFill>
        </w:rPr>
      </w:pPr>
      <w:r>
        <w:rPr>
          <w:rFonts w:hint="eastAsia" w:ascii="Times New Roman" w:hAnsi="Times New Roman" w:eastAsia="宋体"/>
          <w:color w:val="000000" w:themeColor="text1"/>
          <w:sz w:val="24"/>
          <w:szCs w:val="22"/>
          <w:lang w:val="en-US" w:eastAsia="zh-CN"/>
          <w14:textFill>
            <w14:solidFill>
              <w14:schemeClr w14:val="tx1"/>
            </w14:solidFill>
          </w14:textFill>
        </w:rPr>
        <w:t>磁阻线圈的驱动需要外加电压信号得以实现，而由于线圈所需要的电压强度超过FPGA所能提供的上限，因此需要引入升压模块作为载流线圈与FPGA的中间耦合。由于对于线圈电压的要求有限，因此在综合考虑成本以及对平台的适配性，我们选择DC-DC模块电源作为升压电路的主体。</w:t>
      </w:r>
    </w:p>
    <w:p>
      <w:pPr>
        <w:snapToGrid w:val="0"/>
        <w:spacing w:before="81" w:beforeLines="25" w:after="81" w:afterLines="25" w:line="300" w:lineRule="auto"/>
        <w:ind w:firstLine="420" w:firstLineChars="200"/>
      </w:pPr>
      <w:r>
        <w:rPr>
          <w:rFonts w:hint="eastAsia"/>
          <w:lang w:val="en-US" w:eastAsia="zh-CN"/>
        </w:rPr>
        <w:t xml:space="preserve">    </w:t>
      </w:r>
      <w:r>
        <w:drawing>
          <wp:inline distT="0" distB="0" distL="114300" distR="114300">
            <wp:extent cx="4397375" cy="2047875"/>
            <wp:effectExtent l="0" t="0" r="6985" b="952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7"/>
                    <a:stretch>
                      <a:fillRect/>
                    </a:stretch>
                  </pic:blipFill>
                  <pic:spPr>
                    <a:xfrm>
                      <a:off x="0" y="0"/>
                      <a:ext cx="4397375" cy="2047875"/>
                    </a:xfrm>
                    <a:prstGeom prst="rect">
                      <a:avLst/>
                    </a:prstGeom>
                    <a:noFill/>
                    <a:ln>
                      <a:noFill/>
                    </a:ln>
                  </pic:spPr>
                </pic:pic>
              </a:graphicData>
            </a:graphic>
          </wp:inline>
        </w:drawing>
      </w:r>
    </w:p>
    <w:p>
      <w:pPr>
        <w:snapToGrid w:val="0"/>
        <w:spacing w:before="81" w:beforeLines="25" w:after="81" w:afterLines="25" w:line="300" w:lineRule="auto"/>
        <w:jc w:val="center"/>
        <w:rPr>
          <w:rFonts w:hint="eastAsia" w:ascii="Times New Roman" w:hAnsi="Times New Roman" w:eastAsia="宋体" w:cstheme="minorBidi"/>
          <w:b/>
          <w:bCs/>
          <w:kern w:val="28"/>
          <w:sz w:val="21"/>
          <w:szCs w:val="32"/>
          <w:lang w:val="en-US" w:eastAsia="zh-CN" w:bidi="ar-SA"/>
        </w:rPr>
      </w:pPr>
      <w:r>
        <w:rPr>
          <w:rFonts w:hint="eastAsia" w:ascii="Times New Roman" w:hAnsi="Times New Roman" w:eastAsia="宋体" w:cstheme="minorBidi"/>
          <w:b/>
          <w:bCs/>
          <w:kern w:val="28"/>
          <w:sz w:val="21"/>
          <w:szCs w:val="32"/>
          <w:lang w:val="en-US" w:eastAsia="zh-CN" w:bidi="ar-SA"/>
        </w:rPr>
        <w:t>图1.2.2.升压电路模块示意图</w:t>
      </w:r>
    </w:p>
    <w:p>
      <w:pPr>
        <w:snapToGrid w:val="0"/>
        <w:spacing w:before="81" w:beforeLines="25" w:after="81" w:afterLines="25" w:line="300" w:lineRule="auto"/>
        <w:jc w:val="center"/>
        <w:rPr>
          <w:rFonts w:hint="eastAsia" w:ascii="Times New Roman" w:hAnsi="Times New Roman" w:eastAsia="宋体" w:cstheme="minorBidi"/>
          <w:b/>
          <w:bCs/>
          <w:kern w:val="28"/>
          <w:sz w:val="21"/>
          <w:szCs w:val="32"/>
          <w:lang w:val="en-US" w:eastAsia="zh-CN" w:bidi="ar-SA"/>
        </w:rPr>
      </w:pPr>
    </w:p>
    <w:p>
      <w:pPr>
        <w:snapToGrid w:val="0"/>
        <w:spacing w:before="81" w:beforeLines="25" w:after="81" w:afterLines="25" w:line="300" w:lineRule="auto"/>
        <w:jc w:val="center"/>
        <w:rPr>
          <w:rFonts w:hint="eastAsia" w:ascii="Times New Roman" w:hAnsi="Times New Roman" w:eastAsia="宋体" w:cstheme="minorBidi"/>
          <w:b/>
          <w:bCs/>
          <w:kern w:val="28"/>
          <w:sz w:val="21"/>
          <w:szCs w:val="32"/>
          <w:lang w:val="en-US" w:eastAsia="zh-CN" w:bidi="ar-SA"/>
        </w:rPr>
      </w:pPr>
    </w:p>
    <w:p>
      <w:pPr>
        <w:snapToGrid w:val="0"/>
        <w:spacing w:before="81" w:beforeLines="25" w:after="81" w:afterLines="25" w:line="300" w:lineRule="auto"/>
        <w:jc w:val="center"/>
        <w:rPr>
          <w:rFonts w:hint="default"/>
          <w:lang w:val="en-US" w:eastAsia="zh-CN"/>
        </w:rPr>
      </w:pPr>
      <w:r>
        <w:rPr>
          <w:rFonts w:hint="eastAsia" w:ascii="Times New Roman" w:hAnsi="Times New Roman" w:eastAsia="宋体" w:cstheme="minorBidi"/>
          <w:b/>
          <w:bCs/>
          <w:kern w:val="28"/>
          <w:sz w:val="21"/>
          <w:szCs w:val="32"/>
          <w:lang w:val="en-US" w:eastAsia="zh-CN" w:bidi="ar-SA"/>
        </w:rPr>
        <w:t>表1.2.2.DC-DC模块电源性能参数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9"/>
        <w:gridCol w:w="2079"/>
        <w:gridCol w:w="2079"/>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设备型号</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输入电压/V</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最大输出电压/V</w:t>
            </w:r>
          </w:p>
        </w:tc>
        <w:tc>
          <w:tcPr>
            <w:tcW w:w="2080"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最大输入电流/A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CM08-05</w:t>
            </w:r>
          </w:p>
        </w:tc>
        <w:tc>
          <w:tcPr>
            <w:tcW w:w="2079"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3~4.5</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5</w:t>
            </w:r>
          </w:p>
        </w:tc>
        <w:tc>
          <w:tcPr>
            <w:tcW w:w="2080"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CM08-09</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3.3~8</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9</w:t>
            </w:r>
          </w:p>
        </w:tc>
        <w:tc>
          <w:tcPr>
            <w:tcW w:w="2080"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CM08-12</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3.3~11</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12</w:t>
            </w:r>
          </w:p>
        </w:tc>
        <w:tc>
          <w:tcPr>
            <w:tcW w:w="2080"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079"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CM08-15</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3.3~13</w:t>
            </w:r>
          </w:p>
        </w:tc>
        <w:tc>
          <w:tcPr>
            <w:tcW w:w="2079"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15</w:t>
            </w:r>
          </w:p>
        </w:tc>
        <w:tc>
          <w:tcPr>
            <w:tcW w:w="2080"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079"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CM08-24</w:t>
            </w:r>
          </w:p>
        </w:tc>
        <w:tc>
          <w:tcPr>
            <w:tcW w:w="2079" w:type="dxa"/>
          </w:tcPr>
          <w:p>
            <w:pPr>
              <w:snapToGrid w:val="0"/>
              <w:spacing w:before="81" w:beforeLines="25" w:after="81" w:afterLines="25" w:line="300" w:lineRule="auto"/>
              <w:jc w:val="center"/>
              <w:rPr>
                <w:rFonts w:hint="default" w:eastAsiaTheme="minorEastAsia"/>
                <w:vertAlign w:val="baseline"/>
                <w:lang w:val="en-US" w:eastAsia="zh-CN"/>
              </w:rPr>
            </w:pPr>
            <w:r>
              <w:rPr>
                <w:rFonts w:hint="eastAsia"/>
                <w:vertAlign w:val="baseline"/>
                <w:lang w:val="en-US" w:eastAsia="zh-CN"/>
              </w:rPr>
              <w:t>3.3~18</w:t>
            </w:r>
          </w:p>
        </w:tc>
        <w:tc>
          <w:tcPr>
            <w:tcW w:w="2079"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24</w:t>
            </w:r>
          </w:p>
        </w:tc>
        <w:tc>
          <w:tcPr>
            <w:tcW w:w="2080" w:type="dxa"/>
          </w:tcPr>
          <w:p>
            <w:pPr>
              <w:snapToGrid w:val="0"/>
              <w:spacing w:before="81" w:beforeLines="25" w:after="81" w:afterLines="25" w:line="300" w:lineRule="auto"/>
              <w:jc w:val="center"/>
              <w:rPr>
                <w:rFonts w:hint="default"/>
                <w:vertAlign w:val="baseline"/>
                <w:lang w:val="en-US" w:eastAsia="zh-CN"/>
              </w:rPr>
            </w:pPr>
            <w:r>
              <w:rPr>
                <w:rFonts w:hint="eastAsia"/>
                <w:vertAlign w:val="baseline"/>
                <w:lang w:val="en-US" w:eastAsia="zh-CN"/>
              </w:rPr>
              <w:t>1.8</w:t>
            </w:r>
          </w:p>
        </w:tc>
      </w:tr>
    </w:tbl>
    <w:p>
      <w:pPr>
        <w:snapToGrid w:val="0"/>
        <w:spacing w:before="81" w:beforeLines="25" w:after="81" w:afterLines="25" w:line="300" w:lineRule="auto"/>
        <w:ind w:firstLine="480" w:firstLineChars="200"/>
        <w:jc w:val="left"/>
        <w:rPr>
          <w:rFonts w:hint="eastAsia"/>
          <w:lang w:val="en-US" w:eastAsia="zh-CN"/>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考虑到载流线圈所需的输入电压在0~5V之间，输出电压在10~15V之间，故在平台建设中采用CM08-15作为升压电路模块的主要组成部分。</w:t>
      </w:r>
    </w:p>
    <w:p>
      <w:pPr>
        <w:rPr>
          <w:rFonts w:hint="eastAsia" w:ascii="Times New Roman" w:hAnsi="Times New Roman" w:eastAsia="黑体" w:cstheme="majorBidi"/>
          <w:b/>
          <w:bCs/>
          <w:kern w:val="2"/>
          <w:sz w:val="32"/>
          <w:szCs w:val="32"/>
          <w:lang w:val="en-US" w:eastAsia="zh-CN" w:bidi="ar-SA"/>
        </w:rPr>
      </w:pPr>
      <w:r>
        <w:rPr>
          <w:rFonts w:hint="eastAsia" w:ascii="Times New Roman" w:hAnsi="Times New Roman" w:eastAsia="黑体" w:cstheme="majorBidi"/>
          <w:b/>
          <w:bCs/>
          <w:kern w:val="2"/>
          <w:sz w:val="32"/>
          <w:szCs w:val="32"/>
          <w:lang w:val="en-US" w:eastAsia="zh-CN" w:bidi="ar-SA"/>
        </w:rPr>
        <w:t>1.3接收装置</w:t>
      </w:r>
    </w:p>
    <w:p>
      <w:pPr>
        <w:jc w:val="center"/>
        <w:rPr>
          <w:rFonts w:hint="default" w:ascii="Times New Roman" w:hAnsi="Times New Roman" w:eastAsia="黑体" w:cstheme="majorBidi"/>
          <w:b/>
          <w:bCs/>
          <w:kern w:val="2"/>
          <w:sz w:val="32"/>
          <w:szCs w:val="32"/>
          <w:lang w:val="en-US" w:eastAsia="zh-CN" w:bidi="ar-SA"/>
        </w:rPr>
      </w:pPr>
      <w:r>
        <w:rPr>
          <w:rFonts w:hint="eastAsia" w:ascii="Times New Roman" w:hAnsi="Times New Roman" w:eastAsia="宋体" w:cstheme="minorBidi"/>
          <w:b/>
          <w:bCs/>
          <w:kern w:val="28"/>
          <w:sz w:val="21"/>
          <w:szCs w:val="32"/>
          <w:lang w:val="en-US" w:eastAsia="zh-CN" w:bidi="ar-SA"/>
        </w:rPr>
        <w:t>表1.3接收装置具体器件</w:t>
      </w:r>
    </w:p>
    <w:tbl>
      <w:tblPr>
        <w:tblStyle w:val="6"/>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7"/>
        <w:gridCol w:w="284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0" w:type="auto"/>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器件名称</w:t>
            </w:r>
          </w:p>
        </w:tc>
        <w:tc>
          <w:tcPr>
            <w:tcW w:w="2845" w:type="dxa"/>
            <w:tcBorders>
              <w:bottom w:val="single" w:color="auto" w:sz="4" w:space="0"/>
            </w:tcBorders>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器件型号</w:t>
            </w:r>
          </w:p>
        </w:tc>
        <w:tc>
          <w:tcPr>
            <w:tcW w:w="283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器件功能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0" w:type="auto"/>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接收天线</w:t>
            </w:r>
          </w:p>
        </w:tc>
        <w:tc>
          <w:tcPr>
            <w:tcW w:w="2845" w:type="dxa"/>
            <w:tcBorders>
              <w:tl2br w:val="single" w:color="auto" w:sz="4" w:space="0"/>
            </w:tcBorders>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p>
        </w:tc>
        <w:tc>
          <w:tcPr>
            <w:tcW w:w="283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检测发射端发出信号的磁通量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0" w:type="auto"/>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前置电压放大器</w:t>
            </w:r>
          </w:p>
        </w:tc>
        <w:tc>
          <w:tcPr>
            <w:tcW w:w="284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RESON VP2000</w:t>
            </w:r>
          </w:p>
        </w:tc>
        <w:tc>
          <w:tcPr>
            <w:tcW w:w="283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信号放大和滤波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0" w:type="auto"/>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高速AD模块</w:t>
            </w:r>
          </w:p>
        </w:tc>
        <w:tc>
          <w:tcPr>
            <w:tcW w:w="284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ATK-HS-AD-DA</w:t>
            </w:r>
          </w:p>
        </w:tc>
        <w:tc>
          <w:tcPr>
            <w:tcW w:w="283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模拟信号转换为数字信号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0" w:type="auto"/>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FPGA</w:t>
            </w:r>
          </w:p>
        </w:tc>
        <w:tc>
          <w:tcPr>
            <w:tcW w:w="284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PYNQ-Z2</w:t>
            </w:r>
          </w:p>
        </w:tc>
        <w:tc>
          <w:tcPr>
            <w:tcW w:w="2835" w:type="dxa"/>
            <w:vAlign w:val="center"/>
          </w:tcPr>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信号解调</w:t>
            </w:r>
          </w:p>
        </w:tc>
      </w:tr>
    </w:tbl>
    <w:p>
      <w:pPr>
        <w:snapToGrid w:val="0"/>
        <w:spacing w:before="81" w:beforeLines="25" w:after="81" w:afterLines="25" w:line="300" w:lineRule="auto"/>
        <w:jc w:val="cente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（注：接收天线采用现有1.0版本所使用的磁力计）</w:t>
      </w:r>
    </w:p>
    <w:p>
      <w:pPr>
        <w:snapToGrid w:val="0"/>
        <w:spacing w:before="81" w:beforeLines="25" w:after="81" w:afterLines="25" w:line="300" w:lineRule="auto"/>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接收端的工作流程：</w:t>
      </w:r>
    </w:p>
    <w:p>
      <w:pPr>
        <w:snapToGrid w:val="0"/>
        <w:spacing w:before="81" w:beforeLines="25" w:after="81" w:afterLines="25" w:line="300" w:lineRule="auto"/>
        <w:ind w:firstLine="480" w:firstLineChars="200"/>
        <w:jc w:val="left"/>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t>接收天线检测发射端发出信号的磁通量，产生相应的电信号，电信号流入前置放大器，对信号进行放大并滤除信道中的干扰信号，放大后的模拟电信号通过高速AD模块转换为数字信号，然后将数字信号传入FPGA中，进行4DPSK相干解调，并采用信道解码以及时域均衡降低误码率，最终获得发射端的输入信号。</w:t>
      </w:r>
    </w:p>
    <w:p>
      <w:pPr>
        <w:snapToGrid w:val="0"/>
        <w:spacing w:before="81" w:beforeLines="25" w:after="81" w:afterLines="25" w:line="300" w:lineRule="auto"/>
        <w:ind w:firstLine="480" w:firstLineChars="200"/>
        <w:rPr>
          <w:rFonts w:hint="default" w:ascii="Times New Roman" w:hAnsi="Times New Roman" w:eastAsia="宋体"/>
          <w:color w:val="000000" w:themeColor="text1"/>
          <w:sz w:val="24"/>
          <w:szCs w:val="22"/>
          <w:lang w:val="en-US" w:eastAsia="zh-CN"/>
          <w14:textFill>
            <w14:solidFill>
              <w14:schemeClr w14:val="tx1"/>
            </w14:solidFill>
          </w14:textFill>
        </w:rPr>
      </w:pPr>
    </w:p>
    <w:p>
      <w:pPr>
        <w:snapToGrid w:val="0"/>
        <w:spacing w:before="81" w:beforeLines="25" w:after="81" w:afterLines="25" w:line="300" w:lineRule="auto"/>
        <w:ind w:firstLine="480" w:firstLineChars="200"/>
        <w:jc w:val="left"/>
        <w:rPr>
          <w:rFonts w:hint="default" w:ascii="Times New Roman" w:hAnsi="Times New Roman" w:eastAsia="宋体" w:cstheme="minorBidi"/>
          <w:b w:val="0"/>
          <w:bCs w:val="0"/>
          <w:color w:val="000000" w:themeColor="text1"/>
          <w:kern w:val="2"/>
          <w:sz w:val="24"/>
          <w:szCs w:val="24"/>
          <w:lang w:val="en-US" w:eastAsia="zh-CN" w:bidi="ar-SA"/>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eastAsiaTheme="minor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eastAsia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D94D87"/>
    <w:multiLevelType w:val="multilevel"/>
    <w:tmpl w:val="3AD94D87"/>
    <w:lvl w:ilvl="0" w:tentative="0">
      <w:start w:val="1"/>
      <w:numFmt w:val="decimal"/>
      <w:suff w:val="nothing"/>
      <w:lvlText w:val="%1"/>
      <w:lvlJc w:val="left"/>
      <w:pPr>
        <w:ind w:left="0" w:firstLine="0"/>
      </w:pPr>
      <w:rPr>
        <w:rFonts w:hint="default" w:ascii="Times New Roman" w:hAnsi="Times New Roman"/>
      </w:rPr>
    </w:lvl>
    <w:lvl w:ilvl="1" w:tentative="0">
      <w:start w:val="1"/>
      <w:numFmt w:val="decimal"/>
      <w:pStyle w:val="2"/>
      <w:suff w:val="nothing"/>
      <w:lvlText w:val="%1.%2"/>
      <w:lvlJc w:val="left"/>
      <w:pPr>
        <w:ind w:left="0" w:firstLine="0"/>
      </w:pPr>
      <w:rPr>
        <w:rFonts w:hint="default" w:ascii="Times New Roman" w:hAnsi="Times New Roman"/>
      </w:rPr>
    </w:lvl>
    <w:lvl w:ilvl="2" w:tentative="0">
      <w:start w:val="1"/>
      <w:numFmt w:val="decimal"/>
      <w:pStyle w:val="3"/>
      <w:suff w:val="nothing"/>
      <w:lvlText w:val="%1.%2.%3"/>
      <w:lvlJc w:val="left"/>
      <w:pPr>
        <w:ind w:left="0" w:firstLine="0"/>
      </w:pPr>
      <w:rPr>
        <w:rFonts w:hint="default" w:ascii="Times New Roman" w:hAnsi="Times New Roman"/>
      </w:rPr>
    </w:lvl>
    <w:lvl w:ilvl="3" w:tentative="0">
      <w:start w:val="1"/>
      <w:numFmt w:val="decimal"/>
      <w:suff w:val="nothing"/>
      <w:lvlText w:val="%1.%2.%3.%4"/>
      <w:lvlJc w:val="left"/>
      <w:pPr>
        <w:ind w:left="0" w:firstLine="0"/>
      </w:pPr>
      <w:rPr>
        <w:rFonts w:hint="default" w:ascii="Times New Roman" w:hAnsi="Times New Roman"/>
      </w:rPr>
    </w:lvl>
    <w:lvl w:ilvl="4" w:tentative="0">
      <w:start w:val="1"/>
      <w:numFmt w:val="decimal"/>
      <w:lvlText w:val="%1.%2.%3.%4.%5"/>
      <w:lvlJc w:val="left"/>
      <w:pPr>
        <w:ind w:left="0" w:firstLine="0"/>
      </w:pPr>
      <w:rPr>
        <w:rFonts w:hint="default" w:ascii="Times New Roman" w:hAnsi="Times New Roman"/>
      </w:rPr>
    </w:lvl>
    <w:lvl w:ilvl="5" w:tentative="0">
      <w:start w:val="1"/>
      <w:numFmt w:val="decimal"/>
      <w:lvlText w:val="%1.%2.%3.%4.%5.%6"/>
      <w:lvlJc w:val="left"/>
      <w:pPr>
        <w:tabs>
          <w:tab w:val="left" w:pos="369"/>
        </w:tabs>
        <w:ind w:left="0" w:firstLine="0"/>
      </w:pPr>
      <w:rPr>
        <w:rFonts w:hint="default" w:ascii="Times New Roman" w:hAnsi="Times New Roman"/>
      </w:rPr>
    </w:lvl>
    <w:lvl w:ilvl="6" w:tentative="0">
      <w:start w:val="1"/>
      <w:numFmt w:val="decimal"/>
      <w:lvlText w:val="%1.%2.%3.%4.%5.%6.%7"/>
      <w:lvlJc w:val="left"/>
      <w:pPr>
        <w:tabs>
          <w:tab w:val="left" w:pos="369"/>
        </w:tabs>
        <w:ind w:left="0" w:firstLine="0"/>
      </w:pPr>
      <w:rPr>
        <w:rFonts w:hint="default" w:ascii="Times New Roman" w:hAnsi="Times New Roman"/>
      </w:rPr>
    </w:lvl>
    <w:lvl w:ilvl="7" w:tentative="0">
      <w:start w:val="1"/>
      <w:numFmt w:val="decimal"/>
      <w:lvlText w:val="%1.%2.%3.%4.%5.%6.%7.%8"/>
      <w:lvlJc w:val="left"/>
      <w:pPr>
        <w:tabs>
          <w:tab w:val="left" w:pos="369"/>
        </w:tabs>
        <w:ind w:left="0" w:firstLine="0"/>
      </w:pPr>
      <w:rPr>
        <w:rFonts w:hint="default" w:ascii="Times New Roman" w:hAnsi="Times New Roman"/>
      </w:rPr>
    </w:lvl>
    <w:lvl w:ilvl="8" w:tentative="0">
      <w:start w:val="1"/>
      <w:numFmt w:val="decimal"/>
      <w:lvlText w:val="%1.%2.%3.%4.%5.%6.%7.%8.%9"/>
      <w:lvlJc w:val="left"/>
      <w:pPr>
        <w:tabs>
          <w:tab w:val="left" w:pos="369"/>
        </w:tabs>
        <w:ind w:left="0" w:firstLine="0"/>
      </w:pPr>
      <w:rPr>
        <w:rFonts w:hint="default"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5866CA"/>
    <w:rsid w:val="20CD0251"/>
    <w:rsid w:val="30516771"/>
    <w:rsid w:val="31162E38"/>
    <w:rsid w:val="41AE1C0A"/>
    <w:rsid w:val="549222C8"/>
    <w:rsid w:val="594A4899"/>
    <w:rsid w:val="6270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numPr>
        <w:ilvl w:val="1"/>
        <w:numId w:val="1"/>
      </w:numPr>
      <w:spacing w:before="50" w:beforeLines="50" w:after="50" w:afterLines="50"/>
      <w:outlineLvl w:val="1"/>
    </w:pPr>
    <w:rPr>
      <w:rFonts w:eastAsia="黑体" w:cstheme="majorBidi"/>
      <w:b/>
      <w:bCs/>
      <w:sz w:val="32"/>
      <w:szCs w:val="32"/>
    </w:rPr>
  </w:style>
  <w:style w:type="paragraph" w:styleId="3">
    <w:name w:val="heading 3"/>
    <w:basedOn w:val="1"/>
    <w:next w:val="1"/>
    <w:unhideWhenUsed/>
    <w:qFormat/>
    <w:uiPriority w:val="9"/>
    <w:pPr>
      <w:keepNext/>
      <w:keepLines/>
      <w:numPr>
        <w:ilvl w:val="2"/>
        <w:numId w:val="1"/>
      </w:numPr>
      <w:spacing w:before="50" w:beforeLines="50" w:after="50" w:afterLines="50"/>
      <w:outlineLvl w:val="2"/>
    </w:pPr>
    <w:rPr>
      <w:b/>
      <w:bCs/>
      <w:sz w:val="28"/>
      <w:szCs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Subtitle"/>
    <w:basedOn w:val="1"/>
    <w:next w:val="1"/>
    <w:qFormat/>
    <w:uiPriority w:val="11"/>
    <w:pPr>
      <w:spacing w:line="240" w:lineRule="auto"/>
      <w:jc w:val="center"/>
    </w:pPr>
    <w:rPr>
      <w:b/>
      <w:bCs/>
      <w:kern w:val="28"/>
      <w:sz w:val="21"/>
      <w:szCs w:val="32"/>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1622</Words>
  <Characters>2009</Characters>
  <Lines>0</Lines>
  <Paragraphs>0</Paragraphs>
  <TotalTime>3</TotalTime>
  <ScaleCrop>false</ScaleCrop>
  <LinksUpToDate>false</LinksUpToDate>
  <CharactersWithSpaces>2026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2022-04-05T07:00:00Z</dcterms:created>
  <dc:creator>26714</dc:creator>
  <cp:lastModifiedBy>WPS_1601822267</cp:lastModifiedBy>
  <dcterms:modified xsi:type="dcterms:W3CDTF">2022-04-05T12:00:24Z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DE7B6F2DE91A4BCA9E0F1849C21E1E21</vt:lpwstr>
  </property>
</Properties>
</file>