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5A00"/>
          <w:sz w:val="19"/>
          <w:szCs w:val="19"/>
        </w:rPr>
        <w:t xml:space="preserve">PRE-ANALYSIS PROTOCOL</w:t>
      </w:r>
    </w:p>
    <w:p>
      <w:pPr>
        <w:spacing w:after="100"/>
      </w:pPr>
      <w:r>
        <w:rPr>
          <w:b/>
          <w:bCs/>
          <w:color w:val="14504B"/>
          <w:sz w:val="32"/>
          <w:szCs w:val="32"/>
        </w:rPr>
        <w:t xml:space="preserve">Competing models of HTLV-1 control of the autophagy lysosome program in adult T-cell leukemia lymphoma: an acetylation switch tested against a flux blockade</w:t>
      </w:r>
    </w:p>
    <w:p>
      <w:pPr>
        <w:pBdr>
          <w:bottom w:val="single" w:color="8A5A00" w:sz="12"/>
        </w:pBdr>
        <w:spacing w:after="200"/>
      </w:pPr>
      <w:r>
        <w:rPr>
          <w:color w:val="4A4A4A"/>
          <w:sz w:val="19"/>
          <w:szCs w:val="19"/>
        </w:rPr>
        <w:t xml:space="preserve">Abdelmuhsen Abusneina, Faculty of Biomedical Sciences, University of Benghazi  |  Version 1, 17 August 2026</w:t>
      </w:r>
    </w:p>
    <w:p>
      <w:pPr>
        <w:pStyle w:val="Heading1"/>
        <w:spacing w:after="120" w:before="260"/>
      </w:pPr>
      <w:r>
        <w:rPr>
          <w:b/>
          <w:bCs/>
          <w:color w:val="14504B"/>
        </w:rPr>
        <w:t xml:space="preserve">1. Purpose and provenance</w:t>
      </w:r>
    </w:p>
    <w:p>
      <w:pPr>
        <w:spacing w:after="120"/>
        <w:jc w:val="both"/>
      </w:pPr>
      <w:r>
        <w:rPr>
          <w:b w:val="false"/>
          <w:bCs w:val="false"/>
          <w:i w:val="false"/>
          <w:iCs w:val="false"/>
          <w:color w:val="000000"/>
          <w:sz w:val="21"/>
          <w:szCs w:val="21"/>
        </w:rPr>
        <w:t xml:space="preserve">This protocol repositions a 2012 doctoral comprehensive examination proposal, "Elucidation of the epigenetic regulation of autophagy by Human T-Cell Leukemia virus Type 1", as a computational reanalysis of public transcriptomic, epigenomic and dependency data. The original three aims were bench aims: knockdown of EP300 in HuT-102 and Jurkat cells, expression of wild type and M47 mutant Tax, and manipulation of SIRT1, each read out by LC3-I to LC3-II conversion, GFP-LC3 puncta and the acetylation state of ATG5, ATG7, ATG8 and ATG12. None of those readouts is directly recoverable from public data. What is recoverable is the logic of the proposal, and that logic can be turned into a set of competing, falsifiable predictions.</w:t>
      </w:r>
    </w:p>
    <w:p>
      <w:pPr>
        <w:spacing w:after="120"/>
        <w:jc w:val="both"/>
      </w:pPr>
      <w:r>
        <w:rPr>
          <w:b w:val="false"/>
          <w:bCs w:val="false"/>
          <w:i w:val="false"/>
          <w:iCs w:val="false"/>
          <w:color w:val="000000"/>
          <w:sz w:val="21"/>
          <w:szCs w:val="21"/>
        </w:rPr>
        <w:t xml:space="preserve">The protocol is written to be fixed before any analysis is run. Every threshold, gene set and decision rule below is to be frozen and reported as stated, including the outcomes that would count against the preferred model.</w:t>
      </w:r>
    </w:p>
    <w:p>
      <w:pPr>
        <w:pStyle w:val="Heading1"/>
        <w:spacing w:after="120" w:before="260"/>
      </w:pPr>
      <w:r>
        <w:rPr>
          <w:b/>
          <w:bCs/>
          <w:color w:val="14504B"/>
        </w:rPr>
        <w:t xml:space="preserve">2. Why the original directionality must be revised</w:t>
      </w:r>
    </w:p>
    <w:p>
      <w:pPr>
        <w:spacing w:after="120"/>
        <w:jc w:val="both"/>
      </w:pPr>
      <w:r>
        <w:rPr>
          <w:b w:val="false"/>
          <w:bCs w:val="false"/>
          <w:i w:val="false"/>
          <w:iCs w:val="false"/>
          <w:color w:val="000000"/>
          <w:sz w:val="21"/>
          <w:szCs w:val="21"/>
        </w:rPr>
        <w:t xml:space="preserve">The 2012 proposal hypothesized that Tax recruitment of p300 suppresses autophagy, and that suppression sustains NF-kB activation. The literature published after the proposal points the other way. Ren and colleagues reported that Tax activates the IKK complex, which recruits a Beclin 1 and Bif-1 containing complex to lipid raft microdomains and promotes assembly of LC3 positive autophagosomes, and that depletion of Beclin 1 or class III PI3 kinase impairs growth of HTLV-1 transformed T cells. Wang and colleagues reported that Tax increases autophagosome accumulation in astroglioma cells, primary astrocytes and Jurkat T cells, in a manner dependent on IKK activation, and that the increase is associated with resistance to death receptor mediated apoptosis. Chen and colleagues reported that Beclin 1 sustains persistent NF-kB and STAT3 activity in HTLV-1 transformed T cells, which inverts the causal arrow assumed in 2012. More recent work extends the same theme to selective autophagy, describing Tax driven PINK1 and Parkin dependent mitophagy that limits cGAS and STING activation.</w:t>
      </w:r>
    </w:p>
    <w:p>
      <w:pPr>
        <w:spacing w:after="120"/>
        <w:jc w:val="both"/>
      </w:pPr>
      <w:r>
        <w:rPr>
          <w:b w:val="false"/>
          <w:bCs w:val="false"/>
          <w:i w:val="false"/>
          <w:iCs w:val="false"/>
          <w:color w:val="000000"/>
          <w:sz w:val="21"/>
          <w:szCs w:val="21"/>
        </w:rPr>
        <w:t xml:space="preserve">A manuscript that predicted net suppression of autophagy by Tax would therefore be arguing against an established position without new experimental evidence. The part of the original proposal that remains open is narrower and more interesting: nobody has asked, at genome scale and in ATL material, whether the p300 and SIRT1 acetylation balance is the control point, or whether the accumulation of autophagic structures reflects a block at the terminal, degradative step. Those two readings are usually conflated because both produce more LC3 positive vesicles.</w:t>
      </w:r>
    </w:p>
    <w:p>
      <w:pPr>
        <w:pStyle w:val="Heading1"/>
        <w:spacing w:after="120" w:before="260"/>
      </w:pPr>
      <w:r>
        <w:rPr>
          <w:b/>
          <w:bCs/>
          <w:color w:val="14504B"/>
        </w:rPr>
        <w:t xml:space="preserve">3. The two models</w:t>
      </w:r>
    </w:p>
    <w:p>
      <w:pPr>
        <w:spacing w:after="100"/>
      </w:pPr>
      <w:r>
        <w:rPr>
          <w:b/>
          <w:bCs/>
          <w:color w:val="14504B"/>
          <w:sz w:val="21"/>
          <w:szCs w:val="21"/>
        </w:rPr>
        <w:t xml:space="preserve">Model A, acetylation switch. </w:t>
      </w:r>
      <w:r>
        <w:rPr>
          <w:sz w:val="21"/>
          <w:szCs w:val="21"/>
        </w:rPr>
        <w:t xml:space="preserve">In ATL cells the acetyltransferase to deacetylase balance is shifted toward EP300 and away from SIRT1. The core ATG machinery is held in a hyperacetylated state, initiation is restrained, and NF-kB signaling is sustained downstream of that restraint. This is the 2012 hypothesis stated in transcriptional and chromatin terms.</w:t>
      </w:r>
    </w:p>
    <w:p>
      <w:pPr>
        <w:spacing w:after="140"/>
      </w:pPr>
      <w:r>
        <w:rPr>
          <w:b/>
          <w:bCs/>
          <w:color w:val="14504B"/>
          <w:sz w:val="21"/>
          <w:szCs w:val="21"/>
        </w:rPr>
        <w:t xml:space="preserve">Model B, flux blockade. </w:t>
      </w:r>
      <w:r>
        <w:rPr>
          <w:sz w:val="21"/>
          <w:szCs w:val="21"/>
        </w:rPr>
        <w:t xml:space="preserve">Initiation is intact or enhanced through the IKK route, but terminal degradation is impaired, so autophagosomes accumulate while cargo clearance fails. The cell responds with a compensatory lysosomal biogenesis program, and the accumulated pre-fusion compartment itself supports NF-kB and STAT3 activity. This is the position most consistent with published cell biology.</w:t>
      </w:r>
    </w:p>
    <w:p>
      <w:pPr>
        <w:spacing w:after="120"/>
        <w:jc w:val="both"/>
      </w:pPr>
      <w:r>
        <w:rPr>
          <w:b w:val="false"/>
          <w:bCs w:val="false"/>
          <w:i w:val="false"/>
          <w:iCs w:val="false"/>
          <w:color w:val="000000"/>
          <w:sz w:val="21"/>
          <w:szCs w:val="21"/>
        </w:rPr>
        <w:t xml:space="preserve">The two models are not mutually exclusive as biology. They are separable in data because they predict opposite signs at defined points, listed in Table 2. The analysis is designed to discriminate, not to confirm.</w:t>
      </w:r>
    </w:p>
    <w:p>
      <w:pPr>
        <w:spacing w:after="90" w:before="160"/>
      </w:pPr>
      <w:r>
        <w:rPr>
          <w:b/>
          <w:bCs/>
          <w:color w:val="14504B"/>
          <w:sz w:val="19"/>
          <w:szCs w:val="19"/>
        </w:rPr>
        <w:t xml:space="preserve">Table 1. Summary comparison of the two models</w:t>
      </w:r>
    </w:p>
    <w:tbl>
      <w:tblPr>
        <w:tblW w:type="dxa" w:w="9638"/>
        <w:tblBorders>
          <w:top w:val="single" w:color="14504B" w:sz="4"/>
          <w:left w:val="single" w:color="BBBBBB" w:sz="2"/>
          <w:bottom w:val="single" w:color="14504B" w:sz="4"/>
          <w:right w:val="single" w:color="BBBBBB" w:sz="2"/>
          <w:insideH w:val="single" w:color="BBBBBB" w:sz="2"/>
          <w:insideV w:val="single" w:color="BBBBBB" w:sz="2"/>
        </w:tblBorders>
      </w:tblPr>
      <w:tblGrid>
        <w:gridCol w:w="2400"/>
        <w:gridCol w:w="3619"/>
        <w:gridCol w:w="3619"/>
      </w:tblGrid>
      <w:tr>
        <w:trPr>
          <w:cantSplit/>
          <w:tblHeader/>
        </w:trPr>
        <w:tc>
          <w:tcPr>
            <w:tcW w:type="dxa" w:w="2400"/>
            <w:shd w:fill="14504B" w:color="auto" w:val="clear"/>
            <w:tcMar>
              <w:top w:type="dxa" w:w="70"/>
              <w:left w:type="dxa" w:w="100"/>
              <w:bottom w:type="dxa" w:w="70"/>
              <w:right w:type="dxa" w:w="100"/>
            </w:tcMar>
          </w:tcPr>
          <w:p>
            <w:pPr>
              <w:spacing w:after="0"/>
            </w:pPr>
            <w:r>
              <w:rPr>
                <w:b/>
                <w:bCs/>
                <w:color w:val="FFFFFF"/>
                <w:sz w:val="19"/>
                <w:szCs w:val="19"/>
              </w:rPr>
              <w:t xml:space="preserve">Feature</w:t>
            </w:r>
          </w:p>
        </w:tc>
        <w:tc>
          <w:tcPr>
            <w:tcW w:type="dxa" w:w="3619"/>
            <w:shd w:fill="14504B" w:color="auto" w:val="clear"/>
            <w:tcMar>
              <w:top w:type="dxa" w:w="70"/>
              <w:left w:type="dxa" w:w="100"/>
              <w:bottom w:type="dxa" w:w="70"/>
              <w:right w:type="dxa" w:w="100"/>
            </w:tcMar>
          </w:tcPr>
          <w:p>
            <w:pPr>
              <w:spacing w:after="0"/>
            </w:pPr>
            <w:r>
              <w:rPr>
                <w:b/>
                <w:bCs/>
                <w:color w:val="FFFFFF"/>
                <w:sz w:val="19"/>
                <w:szCs w:val="19"/>
              </w:rPr>
              <w:t xml:space="preserve">Model A, acetylation switch</w:t>
            </w:r>
          </w:p>
        </w:tc>
        <w:tc>
          <w:tcPr>
            <w:tcW w:type="dxa" w:w="3619"/>
            <w:shd w:fill="14504B" w:color="auto" w:val="clear"/>
            <w:tcMar>
              <w:top w:type="dxa" w:w="70"/>
              <w:left w:type="dxa" w:w="100"/>
              <w:bottom w:type="dxa" w:w="70"/>
              <w:right w:type="dxa" w:w="100"/>
            </w:tcMar>
          </w:tcPr>
          <w:p>
            <w:pPr>
              <w:spacing w:after="0"/>
            </w:pPr>
            <w:r>
              <w:rPr>
                <w:b/>
                <w:bCs/>
                <w:color w:val="FFFFFF"/>
                <w:sz w:val="19"/>
                <w:szCs w:val="19"/>
              </w:rPr>
              <w:t xml:space="preserve">Model B, flux blockade</w:t>
            </w:r>
          </w:p>
        </w:tc>
      </w:tr>
      <w:tr>
        <w:trPr>
          <w:cantSplit/>
        </w:trPr>
        <w:tc>
          <w:tcPr>
            <w:tcW w:type="dxa" w:w="2400"/>
            <w:tcMar>
              <w:top w:type="dxa" w:w="70"/>
              <w:left w:type="dxa" w:w="100"/>
              <w:bottom w:type="dxa" w:w="70"/>
              <w:right w:type="dxa" w:w="100"/>
            </w:tcMar>
          </w:tcPr>
          <w:p>
            <w:pPr>
              <w:spacing w:after="0"/>
            </w:pPr>
            <w:r>
              <w:rPr>
                <w:b/>
                <w:bCs/>
                <w:color w:val="14504B"/>
                <w:sz w:val="19"/>
                <w:szCs w:val="19"/>
              </w:rPr>
              <w:t xml:space="preserve">Control point</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Lysine acetylation of core ATG proteins</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Autophagosome and lysosome fusion, and degradative capacity</w:t>
            </w:r>
          </w:p>
        </w:tc>
      </w:tr>
      <w:tr>
        <w:trPr>
          <w:cantSplit/>
        </w:trPr>
        <w:tc>
          <w:tcPr>
            <w:tcW w:type="dxa" w:w="2400"/>
            <w:tcMar>
              <w:top w:type="dxa" w:w="70"/>
              <w:left w:type="dxa" w:w="100"/>
              <w:bottom w:type="dxa" w:w="70"/>
              <w:right w:type="dxa" w:w="100"/>
            </w:tcMar>
          </w:tcPr>
          <w:p>
            <w:pPr>
              <w:spacing w:after="0"/>
            </w:pPr>
            <w:r>
              <w:rPr>
                <w:b/>
                <w:bCs/>
                <w:color w:val="14504B"/>
                <w:sz w:val="19"/>
                <w:szCs w:val="19"/>
              </w:rPr>
              <w:t xml:space="preserve">Net effect on initiation</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Restrained</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Preserved or increased</w:t>
            </w:r>
          </w:p>
        </w:tc>
      </w:tr>
      <w:tr>
        <w:trPr>
          <w:cantSplit/>
        </w:trPr>
        <w:tc>
          <w:tcPr>
            <w:tcW w:type="dxa" w:w="2400"/>
            <w:tcMar>
              <w:top w:type="dxa" w:w="70"/>
              <w:left w:type="dxa" w:w="100"/>
              <w:bottom w:type="dxa" w:w="70"/>
              <w:right w:type="dxa" w:w="100"/>
            </w:tcMar>
          </w:tcPr>
          <w:p>
            <w:pPr>
              <w:spacing w:after="0"/>
            </w:pPr>
            <w:r>
              <w:rPr>
                <w:b/>
                <w:bCs/>
                <w:color w:val="14504B"/>
                <w:sz w:val="19"/>
                <w:szCs w:val="19"/>
              </w:rPr>
              <w:t xml:space="preserve">Relation to NF-kB</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Suppressed autophagy permits sustained signaling</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The accumulated compartment supports signaling</w:t>
            </w:r>
          </w:p>
        </w:tc>
      </w:tr>
      <w:tr>
        <w:trPr>
          <w:cantSplit/>
        </w:trPr>
        <w:tc>
          <w:tcPr>
            <w:tcW w:type="dxa" w:w="2400"/>
            <w:tcMar>
              <w:top w:type="dxa" w:w="70"/>
              <w:left w:type="dxa" w:w="100"/>
              <w:bottom w:type="dxa" w:w="70"/>
              <w:right w:type="dxa" w:w="100"/>
            </w:tcMar>
          </w:tcPr>
          <w:p>
            <w:pPr>
              <w:spacing w:after="0"/>
            </w:pPr>
            <w:r>
              <w:rPr>
                <w:b/>
                <w:bCs/>
                <w:color w:val="14504B"/>
                <w:sz w:val="19"/>
                <w:szCs w:val="19"/>
              </w:rPr>
              <w:t xml:space="preserve">Transcriptional signature</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Concentrated in EP300, CREBBP and SIRT1, largely silent across ATG genes</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Distributed across fusion, lysosomal and CLEAR target genes</w:t>
            </w:r>
          </w:p>
        </w:tc>
      </w:tr>
      <w:tr>
        <w:trPr>
          <w:cantSplit/>
        </w:trPr>
        <w:tc>
          <w:tcPr>
            <w:tcW w:type="dxa" w:w="2400"/>
            <w:tcMar>
              <w:top w:type="dxa" w:w="70"/>
              <w:left w:type="dxa" w:w="100"/>
              <w:bottom w:type="dxa" w:w="70"/>
              <w:right w:type="dxa" w:w="100"/>
            </w:tcMar>
          </w:tcPr>
          <w:p>
            <w:pPr>
              <w:spacing w:after="0"/>
            </w:pPr>
            <w:r>
              <w:rPr>
                <w:b/>
                <w:bCs/>
                <w:color w:val="14504B"/>
                <w:sz w:val="19"/>
                <w:szCs w:val="19"/>
              </w:rPr>
              <w:t xml:space="preserve">Therapeutic reading</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Acetyltransferase and deacetylase modulators</w:t>
            </w:r>
          </w:p>
        </w:tc>
        <w:tc>
          <w:tcPr>
            <w:tcW w:type="dxa" w:w="3619"/>
            <w:tcMar>
              <w:top w:type="dxa" w:w="70"/>
              <w:left w:type="dxa" w:w="100"/>
              <w:bottom w:type="dxa" w:w="70"/>
              <w:right w:type="dxa" w:w="100"/>
            </w:tcMar>
          </w:tcPr>
          <w:p>
            <w:pPr>
              <w:spacing w:after="0"/>
            </w:pPr>
            <w:r>
              <w:rPr>
                <w:b w:val="false"/>
                <w:bCs w:val="false"/>
                <w:color w:val="000000"/>
                <w:sz w:val="19"/>
                <w:szCs w:val="19"/>
              </w:rPr>
              <w:t xml:space="preserve">Lysosomotropic agents and fusion machinery, with vulnerability to further blockade</w:t>
            </w:r>
          </w:p>
        </w:tc>
      </w:tr>
    </w:tbl>
    <w:p>
      <w:pPr>
        <w:spacing w:after="90" w:before="160"/>
      </w:pPr>
      <w:r>
        <w:rPr>
          <w:b/>
          <w:bCs/>
          <w:color w:val="14504B"/>
          <w:sz w:val="19"/>
          <w:szCs w:val="19"/>
        </w:rPr>
        <w:t xml:space="preserve">Table 2. Discriminating predictions, to be fixed before analysis</w:t>
      </w:r>
    </w:p>
    <w:tbl>
      <w:tblPr>
        <w:tblW w:type="dxa" w:w="9638"/>
        <w:tblBorders>
          <w:top w:val="single" w:color="14504B" w:sz="4"/>
          <w:left w:val="single" w:color="BBBBBB" w:sz="2"/>
          <w:bottom w:val="single" w:color="14504B" w:sz="4"/>
          <w:right w:val="single" w:color="BBBBBB" w:sz="2"/>
          <w:insideH w:val="single" w:color="BBBBBB" w:sz="2"/>
          <w:insideV w:val="single" w:color="BBBBBB" w:sz="2"/>
        </w:tblBorders>
      </w:tblPr>
      <w:tblGrid>
        <w:gridCol w:w="1400"/>
        <w:gridCol w:w="2400"/>
        <w:gridCol w:w="2200"/>
        <w:gridCol w:w="2200"/>
        <w:gridCol w:w="1438"/>
      </w:tblGrid>
      <w:tr>
        <w:trPr>
          <w:cantSplit/>
          <w:tblHeader/>
        </w:trPr>
        <w:tc>
          <w:tcPr>
            <w:tcW w:type="dxa" w:w="1400"/>
            <w:shd w:fill="14504B" w:color="auto" w:val="clear"/>
            <w:tcMar>
              <w:top w:type="dxa" w:w="70"/>
              <w:left w:type="dxa" w:w="100"/>
              <w:bottom w:type="dxa" w:w="70"/>
              <w:right w:type="dxa" w:w="100"/>
            </w:tcMar>
          </w:tcPr>
          <w:p>
            <w:pPr>
              <w:spacing w:after="0"/>
            </w:pPr>
            <w:r>
              <w:rPr>
                <w:b/>
                <w:bCs/>
                <w:color w:val="FFFFFF"/>
                <w:sz w:val="19"/>
                <w:szCs w:val="19"/>
              </w:rPr>
              <w:t xml:space="preserve">Domain</w:t>
            </w:r>
          </w:p>
        </w:tc>
        <w:tc>
          <w:tcPr>
            <w:tcW w:type="dxa" w:w="2400"/>
            <w:shd w:fill="14504B" w:color="auto" w:val="clear"/>
            <w:tcMar>
              <w:top w:type="dxa" w:w="70"/>
              <w:left w:type="dxa" w:w="100"/>
              <w:bottom w:type="dxa" w:w="70"/>
              <w:right w:type="dxa" w:w="100"/>
            </w:tcMar>
          </w:tcPr>
          <w:p>
            <w:pPr>
              <w:spacing w:after="0"/>
            </w:pPr>
            <w:r>
              <w:rPr>
                <w:b/>
                <w:bCs/>
                <w:color w:val="FFFFFF"/>
                <w:sz w:val="19"/>
                <w:szCs w:val="19"/>
              </w:rPr>
              <w:t xml:space="preserve">Observable</w:t>
            </w:r>
          </w:p>
        </w:tc>
        <w:tc>
          <w:tcPr>
            <w:tcW w:type="dxa" w:w="2200"/>
            <w:shd w:fill="14504B" w:color="auto" w:val="clear"/>
            <w:tcMar>
              <w:top w:type="dxa" w:w="70"/>
              <w:left w:type="dxa" w:w="100"/>
              <w:bottom w:type="dxa" w:w="70"/>
              <w:right w:type="dxa" w:w="100"/>
            </w:tcMar>
          </w:tcPr>
          <w:p>
            <w:pPr>
              <w:spacing w:after="0"/>
            </w:pPr>
            <w:r>
              <w:rPr>
                <w:b/>
                <w:bCs/>
                <w:color w:val="FFFFFF"/>
                <w:sz w:val="19"/>
                <w:szCs w:val="19"/>
              </w:rPr>
              <w:t xml:space="preserve">Model A predicts</w:t>
            </w:r>
          </w:p>
        </w:tc>
        <w:tc>
          <w:tcPr>
            <w:tcW w:type="dxa" w:w="2200"/>
            <w:shd w:fill="14504B" w:color="auto" w:val="clear"/>
            <w:tcMar>
              <w:top w:type="dxa" w:w="70"/>
              <w:left w:type="dxa" w:w="100"/>
              <w:bottom w:type="dxa" w:w="70"/>
              <w:right w:type="dxa" w:w="100"/>
            </w:tcMar>
          </w:tcPr>
          <w:p>
            <w:pPr>
              <w:spacing w:after="0"/>
            </w:pPr>
            <w:r>
              <w:rPr>
                <w:b/>
                <w:bCs/>
                <w:color w:val="FFFFFF"/>
                <w:sz w:val="19"/>
                <w:szCs w:val="19"/>
              </w:rPr>
              <w:t xml:space="preserve">Model B predicts</w:t>
            </w:r>
          </w:p>
        </w:tc>
        <w:tc>
          <w:tcPr>
            <w:tcW w:type="dxa" w:w="1438"/>
            <w:shd w:fill="14504B" w:color="auto" w:val="clear"/>
            <w:tcMar>
              <w:top w:type="dxa" w:w="70"/>
              <w:left w:type="dxa" w:w="100"/>
              <w:bottom w:type="dxa" w:w="70"/>
              <w:right w:type="dxa" w:w="100"/>
            </w:tcMar>
          </w:tcPr>
          <w:p>
            <w:pPr>
              <w:spacing w:after="0"/>
            </w:pPr>
            <w:r>
              <w:rPr>
                <w:b/>
                <w:bCs/>
                <w:color w:val="FFFFFF"/>
                <w:sz w:val="19"/>
                <w:szCs w:val="19"/>
              </w:rPr>
              <w:t xml:space="preserve">Source</w:t>
            </w:r>
          </w:p>
        </w:tc>
      </w:tr>
      <w:tr>
        <w:trPr>
          <w:cantSplit/>
        </w:trPr>
        <w:tc>
          <w:tcPr>
            <w:tcW w:type="dxa" w:w="1400"/>
            <w:vMerge w:val="restart"/>
            <w:shd w:fill="E4EFED" w:color="auto" w:val="clear"/>
            <w:tcMar>
              <w:top w:type="dxa" w:w="70"/>
              <w:left w:type="dxa" w:w="100"/>
              <w:bottom w:type="dxa" w:w="70"/>
              <w:right w:type="dxa" w:w="100"/>
            </w:tcMar>
          </w:tcPr>
          <w:p>
            <w:pPr>
              <w:spacing w:after="0"/>
            </w:pPr>
            <w:r>
              <w:rPr>
                <w:b/>
                <w:bCs/>
                <w:color w:val="14504B"/>
                <w:sz w:val="19"/>
                <w:szCs w:val="19"/>
              </w:rPr>
              <w:t xml:space="preserve">Acetylation axis</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EP300 and CREBBP transcript level in ATL vs normal CD4+ T cells</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Elevated or preserved, with a raised EP300 to SIRT1 ratio</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No directional requirement</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SIRT1 transcript level in ATL vs normal CD4+ T cells</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Reduced, and inversely correlated with the elongation module</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No directional requirement</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w:t>
            </w:r>
          </w:p>
        </w:tc>
      </w:tr>
      <w:tr>
        <w:trPr>
          <w:cantSplit/>
        </w:trPr>
        <w:tc>
          <w:tcPr>
            <w:tcW w:type="dxa" w:w="1400"/>
            <w:vMerge w:val="restart"/>
            <w:shd w:fill="E4EFED" w:color="auto" w:val="clear"/>
            <w:tcMar>
              <w:top w:type="dxa" w:w="70"/>
              <w:left w:type="dxa" w:w="100"/>
              <w:bottom w:type="dxa" w:w="70"/>
              <w:right w:type="dxa" w:w="100"/>
            </w:tcMar>
          </w:tcPr>
          <w:p>
            <w:pPr>
              <w:spacing w:after="0"/>
            </w:pPr>
            <w:r>
              <w:rPr>
                <w:b/>
                <w:bCs/>
                <w:color w:val="14504B"/>
                <w:sz w:val="19"/>
                <w:szCs w:val="19"/>
              </w:rPr>
              <w:t xml:space="preserve">Autophagy modules</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Initiation module (ULK1, ATG13, RB1CC1, BECN1, PIK3C3, ATG14, NRBF2)</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Unchanged or reduced</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Preserved or elevated, with BECN1 and PIK3C3 leading</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 GSE316417</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Elongation and conjugation module (ATG3, ATG5, ATG7, ATG10, ATG12, ATG16L1, MAP1LC3B, GABARAPL1)</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Transcript neutral, since the proposed control is post-translational</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Preserved or elevated</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 GSE316417</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Fusion and lysosomal module (STX17, SNAP29, VAMP8, RAB7A, PLEKHM1, EPG5, VPS33A, VPS16, LAMP1, LAMP2)</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Neutral, no coherent shift expected</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Reduced or internally discordant, the signature of a terminal block</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 GSE316417</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CLEAR and TFEB target module (CTSB, CTSD, CTSF, MCOLN1, GBA, HEXA, ATP6V1H, SQSTM1)</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Neutral or reduced</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Elevated, as a compensatory response to failed clearance</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GSE33615, GSE55851, GSE316417</w:t>
            </w:r>
          </w:p>
        </w:tc>
      </w:tr>
      <w:tr>
        <w:trPr>
          <w:cantSplit/>
        </w:trPr>
        <w:tc>
          <w:tcPr>
            <w:tcW w:type="dxa" w:w="1400"/>
            <w:vMerge w:val="restart"/>
            <w:shd w:fill="E4EFED" w:color="auto" w:val="clear"/>
            <w:tcMar>
              <w:top w:type="dxa" w:w="70"/>
              <w:left w:type="dxa" w:w="100"/>
              <w:bottom w:type="dxa" w:w="70"/>
              <w:right w:type="dxa" w:w="100"/>
            </w:tcMar>
          </w:tcPr>
          <w:p>
            <w:pPr>
              <w:spacing w:after="0"/>
            </w:pPr>
            <w:r>
              <w:rPr>
                <w:b/>
                <w:bCs/>
                <w:color w:val="14504B"/>
                <w:sz w:val="19"/>
                <w:szCs w:val="19"/>
              </w:rPr>
              <w:t xml:space="preserve">Tax dependence</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H3K27ac gain at autophagy and lysosomal loci on Tax induction</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Absent at autophagy loci, or confined to loci unrelated to the pathway</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Present at initiation loci, CLEAR elements, or both</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GSE316419, GSE316420</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Chromatin accessibility at CLEAR elements on Tax induction</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Unchanged</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Increased, with coordinate transcript response</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GSE316418</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Direction of the module response in the Tax inducible system vs primary ATL</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Concordant only for the acetyltransferase axis</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Concordant for initiation and lysosomal modules</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GSE316417 vs GSE33615</w:t>
            </w:r>
          </w:p>
        </w:tc>
      </w:tr>
      <w:tr>
        <w:trPr>
          <w:cantSplit/>
        </w:trPr>
        <w:tc>
          <w:tcPr>
            <w:tcW w:type="dxa" w:w="1400"/>
            <w:vMerge w:val="restart"/>
            <w:shd w:fill="E4EFED" w:color="auto" w:val="clear"/>
            <w:tcMar>
              <w:top w:type="dxa" w:w="70"/>
              <w:left w:type="dxa" w:w="100"/>
              <w:bottom w:type="dxa" w:w="70"/>
              <w:right w:type="dxa" w:w="100"/>
            </w:tcMar>
          </w:tcPr>
          <w:p>
            <w:pPr>
              <w:spacing w:after="0"/>
            </w:pPr>
            <w:r>
              <w:rPr>
                <w:b/>
                <w:bCs/>
                <w:color w:val="14504B"/>
                <w:sz w:val="19"/>
                <w:szCs w:val="19"/>
              </w:rPr>
              <w:t xml:space="preserve">Dependency structure</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Co-dependency of EP300 with autophagy genes in lymphoid lines</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Structured and detectable after lineage adjustment</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No requirement</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DepMap CRISPR (Chronos)</w:t>
            </w:r>
          </w:p>
        </w:tc>
      </w:tr>
      <w:tr>
        <w:trPr>
          <w:cantSplit/>
        </w:trPr>
        <w:tc>
          <w:tcPr>
            <w:vMerge w:val="continue"/>
          </w:tcPr>
          <w:p/>
        </w:tc>
        <w:tc>
          <w:tcPr>
            <w:tcW w:type="dxa" w:w="2400"/>
            <w:tcMar>
              <w:top w:type="dxa" w:w="70"/>
              <w:left w:type="dxa" w:w="100"/>
              <w:bottom w:type="dxa" w:w="70"/>
              <w:right w:type="dxa" w:w="100"/>
            </w:tcMar>
          </w:tcPr>
          <w:p>
            <w:pPr>
              <w:spacing w:after="0"/>
            </w:pPr>
            <w:r>
              <w:rPr>
                <w:b w:val="false"/>
                <w:bCs w:val="false"/>
                <w:color w:val="000000"/>
                <w:sz w:val="19"/>
                <w:szCs w:val="19"/>
              </w:rPr>
              <w:t xml:space="preserve">Co-dependency of SIRT1 with the fusion module</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Positive and specific</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No requirement</w:t>
            </w:r>
          </w:p>
        </w:tc>
        <w:tc>
          <w:tcPr>
            <w:tcW w:type="dxa" w:w="1438"/>
            <w:tcMar>
              <w:top w:type="dxa" w:w="70"/>
              <w:left w:type="dxa" w:w="100"/>
              <w:bottom w:type="dxa" w:w="70"/>
              <w:right w:type="dxa" w:w="100"/>
            </w:tcMar>
          </w:tcPr>
          <w:p>
            <w:pPr>
              <w:spacing w:after="0"/>
            </w:pPr>
            <w:r>
              <w:rPr>
                <w:b w:val="false"/>
                <w:bCs w:val="false"/>
                <w:color w:val="000000"/>
                <w:sz w:val="19"/>
                <w:szCs w:val="19"/>
              </w:rPr>
              <w:t xml:space="preserve">DepMap CRISPR (Chronos)</w:t>
            </w:r>
          </w:p>
        </w:tc>
      </w:tr>
    </w:tbl>
    <w:p>
      <w:pPr>
        <w:spacing w:after="200" w:before="60"/>
      </w:pPr>
      <w:r>
        <w:rPr>
          <w:i/>
          <w:iCs/>
          <w:color w:val="4A4A4A"/>
          <w:sz w:val="18"/>
          <w:szCs w:val="18"/>
        </w:rPr>
        <w:t xml:space="preserve">Decision rule: a model is reported as favored only if it wins at least seven of the eleven observables, including at least one Tax dependence observable, at the thresholds fixed in Section 5. A split verdict is reported as a split verdict.</w:t>
      </w:r>
    </w:p>
    <w:p>
      <w:pPr>
        <w:pStyle w:val="Heading1"/>
        <w:spacing w:after="120" w:before="260"/>
      </w:pPr>
      <w:r>
        <w:rPr>
          <w:b/>
          <w:bCs/>
          <w:color w:val="14504B"/>
        </w:rPr>
        <w:t xml:space="preserve">4. Data sources</w:t>
      </w:r>
    </w:p>
    <w:p>
      <w:pPr>
        <w:spacing w:after="120"/>
        <w:jc w:val="both"/>
      </w:pPr>
      <w:r>
        <w:rPr>
          <w:b w:val="false"/>
          <w:bCs w:val="false"/>
          <w:i w:val="false"/>
          <w:iCs w:val="false"/>
          <w:color w:val="000000"/>
          <w:sz w:val="21"/>
          <w:szCs w:val="21"/>
        </w:rPr>
        <w:t xml:space="preserve">Accessions marked open were confirmed as public at the time of writing. Sample counts and platforms marked for confirmation are to be read from the series records at download and recorded in the analysis log, not carried over from secondary citations.</w:t>
      </w:r>
    </w:p>
    <w:p>
      <w:pPr>
        <w:spacing w:after="90" w:before="160"/>
      </w:pPr>
      <w:r>
        <w:rPr>
          <w:b/>
          <w:bCs/>
          <w:color w:val="14504B"/>
          <w:sz w:val="19"/>
          <w:szCs w:val="19"/>
        </w:rPr>
        <w:t xml:space="preserve">Table 3. Data sources</w:t>
      </w:r>
    </w:p>
    <w:tbl>
      <w:tblPr>
        <w:tblW w:type="dxa" w:w="9638"/>
        <w:tblBorders>
          <w:top w:val="single" w:color="14504B" w:sz="4"/>
          <w:left w:val="single" w:color="BBBBBB" w:sz="2"/>
          <w:bottom w:val="single" w:color="14504B" w:sz="4"/>
          <w:right w:val="single" w:color="BBBBBB" w:sz="2"/>
          <w:insideH w:val="single" w:color="BBBBBB" w:sz="2"/>
          <w:insideV w:val="single" w:color="BBBBBB" w:sz="2"/>
        </w:tblBorders>
      </w:tblPr>
      <w:tblGrid>
        <w:gridCol w:w="1900"/>
        <w:gridCol w:w="3200"/>
        <w:gridCol w:w="2300"/>
        <w:gridCol w:w="2238"/>
      </w:tblGrid>
      <w:tr>
        <w:trPr>
          <w:cantSplit/>
          <w:tblHeader/>
        </w:trPr>
        <w:tc>
          <w:tcPr>
            <w:tcW w:type="dxa" w:w="1900"/>
            <w:shd w:fill="14504B" w:color="auto" w:val="clear"/>
            <w:tcMar>
              <w:top w:type="dxa" w:w="70"/>
              <w:left w:type="dxa" w:w="100"/>
              <w:bottom w:type="dxa" w:w="70"/>
              <w:right w:type="dxa" w:w="100"/>
            </w:tcMar>
          </w:tcPr>
          <w:p>
            <w:pPr>
              <w:spacing w:after="0"/>
            </w:pPr>
            <w:r>
              <w:rPr>
                <w:b/>
                <w:bCs/>
                <w:color w:val="FFFFFF"/>
                <w:sz w:val="19"/>
                <w:szCs w:val="19"/>
              </w:rPr>
              <w:t xml:space="preserve">Accession</w:t>
            </w:r>
          </w:p>
        </w:tc>
        <w:tc>
          <w:tcPr>
            <w:tcW w:type="dxa" w:w="3200"/>
            <w:shd w:fill="14504B" w:color="auto" w:val="clear"/>
            <w:tcMar>
              <w:top w:type="dxa" w:w="70"/>
              <w:left w:type="dxa" w:w="100"/>
              <w:bottom w:type="dxa" w:w="70"/>
              <w:right w:type="dxa" w:w="100"/>
            </w:tcMar>
          </w:tcPr>
          <w:p>
            <w:pPr>
              <w:spacing w:after="0"/>
            </w:pPr>
            <w:r>
              <w:rPr>
                <w:b/>
                <w:bCs/>
                <w:color w:val="FFFFFF"/>
                <w:sz w:val="19"/>
                <w:szCs w:val="19"/>
              </w:rPr>
              <w:t xml:space="preserve">Content</w:t>
            </w:r>
          </w:p>
        </w:tc>
        <w:tc>
          <w:tcPr>
            <w:tcW w:type="dxa" w:w="2300"/>
            <w:shd w:fill="14504B" w:color="auto" w:val="clear"/>
            <w:tcMar>
              <w:top w:type="dxa" w:w="70"/>
              <w:left w:type="dxa" w:w="100"/>
              <w:bottom w:type="dxa" w:w="70"/>
              <w:right w:type="dxa" w:w="100"/>
            </w:tcMar>
          </w:tcPr>
          <w:p>
            <w:pPr>
              <w:spacing w:after="0"/>
            </w:pPr>
            <w:r>
              <w:rPr>
                <w:b/>
                <w:bCs/>
                <w:color w:val="FFFFFF"/>
                <w:sz w:val="19"/>
                <w:szCs w:val="19"/>
              </w:rPr>
              <w:t xml:space="preserve">Scale and platform</w:t>
            </w:r>
          </w:p>
        </w:tc>
        <w:tc>
          <w:tcPr>
            <w:tcW w:type="dxa" w:w="2238"/>
            <w:shd w:fill="14504B" w:color="auto" w:val="clear"/>
            <w:tcMar>
              <w:top w:type="dxa" w:w="70"/>
              <w:left w:type="dxa" w:w="100"/>
              <w:bottom w:type="dxa" w:w="70"/>
              <w:right w:type="dxa" w:w="100"/>
            </w:tcMar>
          </w:tcPr>
          <w:p>
            <w:pPr>
              <w:spacing w:after="0"/>
            </w:pPr>
            <w:r>
              <w:rPr>
                <w:b/>
                <w:bCs/>
                <w:color w:val="FFFFFF"/>
                <w:sz w:val="19"/>
                <w:szCs w:val="19"/>
              </w:rPr>
              <w:t xml:space="preserve">Access status</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GSE33615</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Primary ATL CD4+ cells vs healthy donor CD4+ cells, expression microarray</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52 ATL, 21 healthy donors; Agilent GPL4133 4x44K</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GSE55851</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ATL patients, HTLV-1 carriers, normal CD4+ T cells, companion series to the ATL epigenome study</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 Agilent</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GSE41796</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Jurkat model series from the same group, useful as a non-infected comparator</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GSE316417</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RNA-seq of the JPX-9 Tax inducible system, with and without IRF4</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 Illumina</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GSE316418</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ATAC-seq, same Tax inducible design</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GSE316419</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CUT and Tag, including H3K27ac profiling on Tax induction</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GSE316420</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ChIP-seq, same series</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To confirm at download</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GSE19080, GSE85487</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Additional ATL and carrier cohorts used in earlier reanalyses, candidates for replication</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Mixed platforms, limited probe coverage in at least one series</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 coverage to be checked</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EGAD00001001411 and related EGA sets</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Kyoto RNA-seq of ATL tumors, carriers, healthy volunteers</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57 tumors, 3 carriers, 3 healthy volunteers</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Controlled, data access committee approval required</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DepMap, current quarterly release</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CRISPR gene effect and expression for EP300, SIRT1, autophagy and lysosomal genes</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Lymphoid subset; HTLV-1 positive line coverage unverified</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 registration</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PhosphoSitePlus, dbPTM</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Curated lysine acetylation sites on ATG5, ATG7, ATG12, MAP1LC3B, FOXO3, RELA</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Site level, with evidence counts</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 license terms apply</w:t>
            </w:r>
          </w:p>
        </w:tc>
      </w:tr>
      <w:tr>
        <w:trPr>
          <w:cantSplit/>
        </w:trPr>
        <w:tc>
          <w:tcPr>
            <w:tcW w:type="dxa" w:w="1900"/>
            <w:tcMar>
              <w:top w:type="dxa" w:w="70"/>
              <w:left w:type="dxa" w:w="100"/>
              <w:bottom w:type="dxa" w:w="70"/>
              <w:right w:type="dxa" w:w="100"/>
            </w:tcMar>
          </w:tcPr>
          <w:p>
            <w:pPr>
              <w:spacing w:after="0"/>
            </w:pPr>
            <w:r>
              <w:rPr>
                <w:b/>
                <w:bCs/>
                <w:color w:val="14504B"/>
                <w:sz w:val="19"/>
                <w:szCs w:val="19"/>
              </w:rPr>
              <w:t xml:space="preserve">HADb, GO, KEGG, Reactome, MSigDB</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Gene set definitions for the four analysis modules</w:t>
            </w:r>
          </w:p>
        </w:tc>
        <w:tc>
          <w:tcPr>
            <w:tcW w:type="dxa" w:w="2300"/>
            <w:tcMar>
              <w:top w:type="dxa" w:w="70"/>
              <w:left w:type="dxa" w:w="100"/>
              <w:bottom w:type="dxa" w:w="70"/>
              <w:right w:type="dxa" w:w="100"/>
            </w:tcMar>
          </w:tcPr>
          <w:p>
            <w:pPr>
              <w:spacing w:after="0"/>
            </w:pPr>
            <w:r>
              <w:rPr>
                <w:b w:val="false"/>
                <w:bCs w:val="false"/>
                <w:color w:val="000000"/>
                <w:sz w:val="19"/>
                <w:szCs w:val="19"/>
              </w:rPr>
              <w:t xml:space="preserve">Curated sets, frozen at analysis start</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Open</w:t>
            </w:r>
          </w:p>
        </w:tc>
      </w:tr>
    </w:tbl>
    <w:p>
      <w:pPr>
        <w:pStyle w:val="Heading1"/>
        <w:spacing w:after="120" w:before="260"/>
      </w:pPr>
      <w:r>
        <w:rPr>
          <w:b/>
          <w:bCs/>
          <w:color w:val="14504B"/>
        </w:rPr>
        <w:t xml:space="preserve">5. Analysis plan</w:t>
      </w:r>
    </w:p>
    <w:p>
      <w:pPr>
        <w:pStyle w:val="Heading2"/>
        <w:spacing w:after="120" w:before="260"/>
      </w:pPr>
      <w:r>
        <w:rPr>
          <w:b/>
          <w:bCs/>
          <w:color w:val="14504B"/>
        </w:rPr>
        <w:t xml:space="preserve">5.1 Gene set construction</w:t>
      </w:r>
    </w:p>
    <w:p>
      <w:pPr>
        <w:spacing w:after="120"/>
        <w:jc w:val="both"/>
      </w:pPr>
      <w:r>
        <w:rPr>
          <w:b w:val="false"/>
          <w:bCs w:val="false"/>
          <w:i w:val="false"/>
          <w:iCs w:val="false"/>
          <w:color w:val="000000"/>
          <w:sz w:val="21"/>
          <w:szCs w:val="21"/>
        </w:rPr>
        <w:t xml:space="preserve">Four modules are defined a priori and frozen before any expression matrix is opened: initiation, elongation and conjugation, fusion and lysosomal, and CLEAR or TFEB target. Membership is drawn from the Human Autophagy Database, GO biological process terms for macroautophagy and autophagosome maturation, KEGG hsa04140, and Reactome, with the union taken and hand curated to remove genes whose only annotation is indirect. The acetyltransferase and deacetylase axis is treated as a separate three gene panel, EP300, CREBBP and SIRT1, and is never folded into the module scores.</w:t>
      </w:r>
    </w:p>
    <w:p>
      <w:pPr>
        <w:pStyle w:val="Heading2"/>
        <w:spacing w:after="120" w:before="260"/>
      </w:pPr>
      <w:r>
        <w:rPr>
          <w:b/>
          <w:bCs/>
          <w:color w:val="14504B"/>
        </w:rPr>
        <w:t xml:space="preserve">5.2 Expression cohorts</w:t>
      </w:r>
    </w:p>
    <w:p>
      <w:pPr>
        <w:pStyle w:val="ListParagraph"/>
        <w:numPr>
          <w:ilvl w:val="0"/>
          <w:numId w:val="2"/>
        </w:numPr>
        <w:spacing w:after="70"/>
      </w:pPr>
      <w:r>
        <w:rPr>
          <w:sz w:val="21"/>
          <w:szCs w:val="21"/>
        </w:rPr>
        <w:t xml:space="preserve">Each series is processed independently. No cross platform matrix is merged, because platform and cohort are confounded with disease status in this collection and batch correction would manufacture the very signal the analysis is testing.</w:t>
      </w:r>
    </w:p>
    <w:p>
      <w:pPr>
        <w:pStyle w:val="ListParagraph"/>
        <w:numPr>
          <w:ilvl w:val="0"/>
          <w:numId w:val="2"/>
        </w:numPr>
        <w:spacing w:after="70"/>
      </w:pPr>
      <w:r>
        <w:rPr>
          <w:sz w:val="21"/>
          <w:szCs w:val="21"/>
        </w:rPr>
        <w:t xml:space="preserve">Single channel Agilent series: background correction, quantile normalization between arrays, probe collapse to gene by maximum mean intensity, linear modeling with empirical Bayes moderation.</w:t>
      </w:r>
    </w:p>
    <w:p>
      <w:pPr>
        <w:pStyle w:val="ListParagraph"/>
        <w:numPr>
          <w:ilvl w:val="0"/>
          <w:numId w:val="2"/>
        </w:numPr>
        <w:spacing w:after="70"/>
      </w:pPr>
      <w:r>
        <w:rPr>
          <w:sz w:val="21"/>
          <w:szCs w:val="21"/>
        </w:rPr>
        <w:t xml:space="preserve">RNA-seq series: transcript quantification against a fixed reference build, gene level summarization, filtering by expressed genes, negative binomial modeling.</w:t>
      </w:r>
    </w:p>
    <w:p>
      <w:pPr>
        <w:pStyle w:val="ListParagraph"/>
        <w:numPr>
          <w:ilvl w:val="0"/>
          <w:numId w:val="2"/>
        </w:numPr>
        <w:spacing w:after="70"/>
      </w:pPr>
      <w:r>
        <w:rPr>
          <w:sz w:val="21"/>
          <w:szCs w:val="21"/>
        </w:rPr>
        <w:t xml:space="preserve">Module level inference: sample wise gene set scores computed by a rank based enrichment method, then compared across groups. Gene level results are reported as supporting detail, not as the primary outcome, since the predictions in Table 2 are module level.</w:t>
      </w:r>
    </w:p>
    <w:p>
      <w:pPr>
        <w:pStyle w:val="ListParagraph"/>
        <w:numPr>
          <w:ilvl w:val="0"/>
          <w:numId w:val="2"/>
        </w:numPr>
        <w:spacing w:after="70"/>
      </w:pPr>
      <w:r>
        <w:rPr>
          <w:sz w:val="21"/>
          <w:szCs w:val="21"/>
        </w:rPr>
        <w:t xml:space="preserve">Meta-analysis across cohorts by rank aggregation of module scores rather than by pooling samples.</w:t>
      </w:r>
    </w:p>
    <w:p>
      <w:pPr>
        <w:pStyle w:val="ListParagraph"/>
        <w:numPr>
          <w:ilvl w:val="0"/>
          <w:numId w:val="2"/>
        </w:numPr>
        <w:spacing w:after="70"/>
      </w:pPr>
      <w:r>
        <w:rPr>
          <w:sz w:val="21"/>
          <w:szCs w:val="21"/>
        </w:rPr>
        <w:t xml:space="preserve">Multiplicity: Benjamini and Hochberg control at a false discovery rate of 0.05, applied within each module family. Effect sizes with confidence intervals accompany every p value, and no result is described as significant on the basis of a p value alone.</w:t>
      </w:r>
    </w:p>
    <w:p>
      <w:pPr>
        <w:pStyle w:val="Heading2"/>
        <w:spacing w:after="120" w:before="260"/>
      </w:pPr>
      <w:r>
        <w:rPr>
          <w:b/>
          <w:bCs/>
          <w:color w:val="14504B"/>
        </w:rPr>
        <w:t xml:space="preserve">5.3 Tax dependence, chromatin arm</w:t>
      </w:r>
    </w:p>
    <w:p>
      <w:pPr>
        <w:spacing w:after="120"/>
        <w:jc w:val="both"/>
      </w:pPr>
      <w:r>
        <w:rPr>
          <w:b w:val="false"/>
          <w:bCs w:val="false"/>
          <w:i w:val="false"/>
          <w:iCs w:val="false"/>
          <w:color w:val="000000"/>
          <w:sz w:val="21"/>
          <w:szCs w:val="21"/>
        </w:rPr>
        <w:t xml:space="preserve">The JPX-9 series provides the manipulation that primary tumors cannot: Tax expression switched on in an otherwise constant cellular background, with and without IRF4. Reads are aligned to a single genome build, peaks called with a fixed parameter set, and differential occupancy and accessibility computed with a count based method. The analysis then asks a narrow question: do the peak regions that gain H3K27ac or accessibility on Tax induction overlap the promoters and enhancers of the four modules more than expected under a matched background model. Overlap significance is assessed by permutation against regions matched for chromatin state and gene density, not against the whole genome.</w:t>
      </w:r>
    </w:p>
    <w:p>
      <w:pPr>
        <w:pStyle w:val="Heading2"/>
        <w:spacing w:after="120" w:before="260"/>
      </w:pPr>
      <w:r>
        <w:rPr>
          <w:b/>
          <w:bCs/>
          <w:color w:val="14504B"/>
        </w:rPr>
        <w:t xml:space="preserve">5.4 Dependency arm</w:t>
      </w:r>
    </w:p>
    <w:p>
      <w:pPr>
        <w:spacing w:after="120"/>
        <w:jc w:val="both"/>
      </w:pPr>
      <w:r>
        <w:rPr>
          <w:b w:val="false"/>
          <w:bCs w:val="false"/>
          <w:i w:val="false"/>
          <w:iCs w:val="false"/>
          <w:color w:val="000000"/>
          <w:sz w:val="21"/>
          <w:szCs w:val="21"/>
        </w:rPr>
        <w:t xml:space="preserve">Gene effect scores are restricted to lymphoid lineage lines. Correlations between EP300 or SIRT1 dependency and autophagy gene dependency are computed with lineage and growth rate as covariates, because unadjusted co-dependency in a mixed panel mostly recovers lineage. If the number of HTLV-1 positive lines with dependency data is too small for a subgroup estimate, the arm is reported as a T-lymphoid observation and the ATL specific claim is dropped rather than softened.</w:t>
      </w:r>
    </w:p>
    <w:p>
      <w:pPr>
        <w:pStyle w:val="Heading2"/>
        <w:spacing w:after="120" w:before="260"/>
      </w:pPr>
      <w:r>
        <w:rPr>
          <w:b/>
          <w:bCs/>
          <w:color w:val="14504B"/>
        </w:rPr>
        <w:t xml:space="preserve">5.5 Site level prioritization</w:t>
      </w:r>
    </w:p>
    <w:p>
      <w:pPr>
        <w:spacing w:after="120"/>
        <w:jc w:val="both"/>
      </w:pPr>
      <w:r>
        <w:rPr>
          <w:b w:val="false"/>
          <w:bCs w:val="false"/>
          <w:i w:val="false"/>
          <w:iCs w:val="false"/>
          <w:color w:val="000000"/>
          <w:sz w:val="21"/>
          <w:szCs w:val="21"/>
        </w:rPr>
        <w:t xml:space="preserve">Curated lysine acetylation sites on ATG5, ATG7, ATG12, MAP1LC3B, FOXO3 and RELA are extracted with their evidence counts, mapped to domain position, and scored for cross species conservation. The output is a ranked shortlist of sites at which the acetylation switch model would be tested at the bench. This is the concrete deliverable of the prediction section, and it is the part a collaborator with a laboratory can act on.</w:t>
      </w:r>
    </w:p>
    <w:p>
      <w:pPr>
        <w:pStyle w:val="Heading1"/>
        <w:spacing w:after="120" w:before="260"/>
      </w:pPr>
      <w:r>
        <w:rPr>
          <w:b/>
          <w:bCs/>
          <w:color w:val="14504B"/>
        </w:rPr>
        <w:t xml:space="preserve">6. Falsification criteria</w:t>
      </w:r>
    </w:p>
    <w:p>
      <w:pPr>
        <w:pStyle w:val="ListParagraph"/>
        <w:numPr>
          <w:ilvl w:val="0"/>
          <w:numId w:val="3"/>
        </w:numPr>
        <w:spacing w:after="70"/>
      </w:pPr>
      <w:r>
        <w:rPr>
          <w:sz w:val="21"/>
          <w:szCs w:val="21"/>
        </w:rPr>
        <w:t xml:space="preserve">Model A is falsified if the EP300 to SIRT1 ratio does not differ between ATL and normal CD4+ T cells in at least two independent cohorts, and no dependency structure links EP300 to autophagy genes after lineage adjustment.</w:t>
      </w:r>
    </w:p>
    <w:p>
      <w:pPr>
        <w:pStyle w:val="ListParagraph"/>
        <w:numPr>
          <w:ilvl w:val="0"/>
          <w:numId w:val="3"/>
        </w:numPr>
        <w:spacing w:after="70"/>
      </w:pPr>
      <w:r>
        <w:rPr>
          <w:sz w:val="21"/>
          <w:szCs w:val="21"/>
        </w:rPr>
        <w:t xml:space="preserve">Model B is falsified if the fusion and lysosomal module shows no coherent shift in any cohort, and Tax induction produces no gain in H3K27ac or accessibility at CLEAR elements.</w:t>
      </w:r>
    </w:p>
    <w:p>
      <w:pPr>
        <w:pStyle w:val="ListParagraph"/>
        <w:numPr>
          <w:ilvl w:val="0"/>
          <w:numId w:val="3"/>
        </w:numPr>
        <w:spacing w:after="70"/>
      </w:pPr>
      <w:r>
        <w:rPr>
          <w:sz w:val="21"/>
          <w:szCs w:val="21"/>
        </w:rPr>
        <w:t xml:space="preserve">Both models are unsupported if module scores in ATL are indistinguishable from normal CD4+ T cells at the fixed thresholds. That outcome is publishable and is to be written up as such, with the negative result in the abstract.</w:t>
      </w:r>
    </w:p>
    <w:p>
      <w:pPr>
        <w:pStyle w:val="Heading1"/>
        <w:spacing w:after="120" w:before="260"/>
      </w:pPr>
      <w:r>
        <w:rPr>
          <w:b/>
          <w:bCs/>
          <w:color w:val="14504B"/>
        </w:rPr>
        <w:t xml:space="preserve">7. Deliverables</w:t>
      </w:r>
    </w:p>
    <w:p>
      <w:pPr>
        <w:pStyle w:val="ListParagraph"/>
        <w:numPr>
          <w:ilvl w:val="0"/>
          <w:numId w:val="2"/>
        </w:numPr>
        <w:spacing w:after="70"/>
      </w:pPr>
      <w:r>
        <w:rPr>
          <w:sz w:val="21"/>
          <w:szCs w:val="21"/>
        </w:rPr>
        <w:t xml:space="preserve">A reanalysis reporting module level status of the autophagy lysosome program in ATL across independent cohorts, with coverage fractions stated.</w:t>
      </w:r>
    </w:p>
    <w:p>
      <w:pPr>
        <w:pStyle w:val="ListParagraph"/>
        <w:numPr>
          <w:ilvl w:val="0"/>
          <w:numId w:val="2"/>
        </w:numPr>
        <w:spacing w:after="70"/>
      </w:pPr>
      <w:r>
        <w:rPr>
          <w:sz w:val="21"/>
          <w:szCs w:val="21"/>
        </w:rPr>
        <w:t xml:space="preserve">A verdict on the two models against the pre-fixed decision rule in Table 2.</w:t>
      </w:r>
    </w:p>
    <w:p>
      <w:pPr>
        <w:pStyle w:val="ListParagraph"/>
        <w:numPr>
          <w:ilvl w:val="0"/>
          <w:numId w:val="2"/>
        </w:numPr>
        <w:spacing w:after="70"/>
      </w:pPr>
      <w:r>
        <w:rPr>
          <w:sz w:val="21"/>
          <w:szCs w:val="21"/>
        </w:rPr>
        <w:t xml:space="preserve">A ranked shortlist of acetylation sites and three specific bench tests, written so that a collaborating laboratory can execute them without further design work.</w:t>
      </w:r>
    </w:p>
    <w:p>
      <w:pPr>
        <w:pStyle w:val="ListParagraph"/>
        <w:numPr>
          <w:ilvl w:val="0"/>
          <w:numId w:val="2"/>
        </w:numPr>
        <w:spacing w:after="70"/>
      </w:pPr>
      <w:r>
        <w:rPr>
          <w:sz w:val="21"/>
          <w:szCs w:val="21"/>
        </w:rPr>
        <w:t xml:space="preserve">Code and frozen gene set definitions deposited in a public repository with a release tag cited in the manuscript.</w:t>
      </w:r>
    </w:p>
    <w:p>
      <w:pPr>
        <w:pStyle w:val="Heading1"/>
        <w:spacing w:after="120" w:before="260"/>
      </w:pPr>
      <w:r>
        <w:rPr>
          <w:b/>
          <w:bCs/>
          <w:color w:val="14504B"/>
        </w:rPr>
        <w:t xml:space="preserve">8. Open items and judgment calls</w:t>
      </w:r>
    </w:p>
    <w:p>
      <w:pPr>
        <w:spacing w:after="90" w:before="160"/>
      </w:pPr>
      <w:r>
        <w:rPr>
          <w:b/>
          <w:bCs/>
          <w:color w:val="14504B"/>
          <w:sz w:val="19"/>
          <w:szCs w:val="19"/>
        </w:rPr>
        <w:t xml:space="preserve">Table 4. Items to resolve before drafting</w:t>
      </w:r>
    </w:p>
    <w:tbl>
      <w:tblPr>
        <w:tblW w:type="dxa" w:w="9638"/>
        <w:tblBorders>
          <w:top w:val="single" w:color="14504B" w:sz="4"/>
          <w:left w:val="single" w:color="BBBBBB" w:sz="2"/>
          <w:bottom w:val="single" w:color="14504B" w:sz="4"/>
          <w:right w:val="single" w:color="BBBBBB" w:sz="2"/>
          <w:insideH w:val="single" w:color="BBBBBB" w:sz="2"/>
          <w:insideV w:val="single" w:color="BBBBBB" w:sz="2"/>
        </w:tblBorders>
      </w:tblPr>
      <w:tblGrid>
        <w:gridCol w:w="3000"/>
        <w:gridCol w:w="4400"/>
        <w:gridCol w:w="2238"/>
      </w:tblGrid>
      <w:tr>
        <w:trPr>
          <w:cantSplit/>
          <w:tblHeader/>
        </w:trPr>
        <w:tc>
          <w:tcPr>
            <w:tcW w:type="dxa" w:w="3000"/>
            <w:shd w:fill="14504B" w:color="auto" w:val="clear"/>
            <w:tcMar>
              <w:top w:type="dxa" w:w="70"/>
              <w:left w:type="dxa" w:w="100"/>
              <w:bottom w:type="dxa" w:w="70"/>
              <w:right w:type="dxa" w:w="100"/>
            </w:tcMar>
          </w:tcPr>
          <w:p>
            <w:pPr>
              <w:spacing w:after="0"/>
            </w:pPr>
            <w:r>
              <w:rPr>
                <w:b/>
                <w:bCs/>
                <w:color w:val="FFFFFF"/>
                <w:sz w:val="19"/>
                <w:szCs w:val="19"/>
              </w:rPr>
              <w:t xml:space="preserve">Item</w:t>
            </w:r>
          </w:p>
        </w:tc>
        <w:tc>
          <w:tcPr>
            <w:tcW w:type="dxa" w:w="4400"/>
            <w:shd w:fill="14504B" w:color="auto" w:val="clear"/>
            <w:tcMar>
              <w:top w:type="dxa" w:w="70"/>
              <w:left w:type="dxa" w:w="100"/>
              <w:bottom w:type="dxa" w:w="70"/>
              <w:right w:type="dxa" w:w="100"/>
            </w:tcMar>
          </w:tcPr>
          <w:p>
            <w:pPr>
              <w:spacing w:after="0"/>
            </w:pPr>
            <w:r>
              <w:rPr>
                <w:b/>
                <w:bCs/>
                <w:color w:val="FFFFFF"/>
                <w:sz w:val="19"/>
                <w:szCs w:val="19"/>
              </w:rPr>
              <w:t xml:space="preserve">Why it matters</w:t>
            </w:r>
          </w:p>
        </w:tc>
        <w:tc>
          <w:tcPr>
            <w:tcW w:type="dxa" w:w="2238"/>
            <w:shd w:fill="14504B" w:color="auto" w:val="clear"/>
            <w:tcMar>
              <w:top w:type="dxa" w:w="70"/>
              <w:left w:type="dxa" w:w="100"/>
              <w:bottom w:type="dxa" w:w="70"/>
              <w:right w:type="dxa" w:w="100"/>
            </w:tcMar>
          </w:tcPr>
          <w:p>
            <w:pPr>
              <w:spacing w:after="0"/>
            </w:pPr>
            <w:r>
              <w:rPr>
                <w:b/>
                <w:bCs/>
                <w:color w:val="FFFFFF"/>
                <w:sz w:val="19"/>
                <w:szCs w:val="19"/>
              </w:rPr>
              <w:t xml:space="preserve">Resolution</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DepMap coverage of HTLV-1 positive lines</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Aim 3 is only interpretable for ATL if at least a few HTLV-1 positive lines carry CRISPR data; otherwise the dependency analysis speaks to T-lymphoid cells in general</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Query the release before the aim is written into the manuscript</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Probe coverage on the Agilent platform</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Several fusion stage genes were annotated after the array was designed, so an absent probe must not be reported as an absent effect</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Report module coverage as a fraction of the defined set</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Prior use of GSE33615 for autophagy gene lists</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A 2023 reanalysis of the same series already reported autophagy related differentially expressed genes, so a plain differential expression result is not novel</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Position the contribution as model discrimination, not gene discovery</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Controlled access cohorts</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The RNA-seq cohorts would materially strengthen replication but add months of approval time</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Decide whether to submit without them and add them later</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Transcript level inference of a post-translational mechanism</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This is the central limitation of the whole design and reviewers will raise it first</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State it in the abstract, not only the limitations paragraph</w:t>
            </w:r>
          </w:p>
        </w:tc>
      </w:tr>
      <w:tr>
        <w:trPr>
          <w:cantSplit/>
        </w:trPr>
        <w:tc>
          <w:tcPr>
            <w:tcW w:type="dxa" w:w="3000"/>
            <w:tcMar>
              <w:top w:type="dxa" w:w="70"/>
              <w:left w:type="dxa" w:w="100"/>
              <w:bottom w:type="dxa" w:w="70"/>
              <w:right w:type="dxa" w:w="100"/>
            </w:tcMar>
          </w:tcPr>
          <w:p>
            <w:pPr>
              <w:spacing w:after="0"/>
            </w:pPr>
            <w:r>
              <w:rPr>
                <w:b/>
                <w:bCs/>
                <w:color w:val="14504B"/>
                <w:sz w:val="19"/>
                <w:szCs w:val="19"/>
              </w:rPr>
              <w:t xml:space="preserve">HBZ as a competing explanatory variable</w:t>
            </w:r>
          </w:p>
        </w:tc>
        <w:tc>
          <w:tcPr>
            <w:tcW w:type="dxa" w:w="4400"/>
            <w:tcMar>
              <w:top w:type="dxa" w:w="70"/>
              <w:left w:type="dxa" w:w="100"/>
              <w:bottom w:type="dxa" w:w="70"/>
              <w:right w:type="dxa" w:w="100"/>
            </w:tcMar>
          </w:tcPr>
          <w:p>
            <w:pPr>
              <w:spacing w:after="0"/>
            </w:pPr>
            <w:r>
              <w:rPr>
                <w:b w:val="false"/>
                <w:bCs w:val="false"/>
                <w:color w:val="000000"/>
                <w:sz w:val="19"/>
                <w:szCs w:val="19"/>
              </w:rPr>
              <w:t xml:space="preserve">Tax is silenced in a large share of ATL cases while HBZ is consistently expressed, so a Tax centered model may not describe primary tumors</w:t>
            </w:r>
          </w:p>
        </w:tc>
        <w:tc>
          <w:tcPr>
            <w:tcW w:type="dxa" w:w="2238"/>
            <w:tcMar>
              <w:top w:type="dxa" w:w="70"/>
              <w:left w:type="dxa" w:w="100"/>
              <w:bottom w:type="dxa" w:w="70"/>
              <w:right w:type="dxa" w:w="100"/>
            </w:tcMar>
          </w:tcPr>
          <w:p>
            <w:pPr>
              <w:spacing w:after="0"/>
            </w:pPr>
            <w:r>
              <w:rPr>
                <w:b w:val="false"/>
                <w:bCs w:val="false"/>
                <w:color w:val="000000"/>
                <w:sz w:val="19"/>
                <w:szCs w:val="19"/>
              </w:rPr>
              <w:t xml:space="preserve">Stratify primary cases by proviral expression where the metadata permit</w:t>
            </w:r>
          </w:p>
        </w:tc>
      </w:tr>
    </w:tbl>
    <w:p>
      <w:pPr>
        <w:pStyle w:val="Heading1"/>
        <w:spacing w:after="120" w:before="260"/>
      </w:pPr>
      <w:r>
        <w:rPr>
          <w:b/>
          <w:bCs/>
          <w:color w:val="14504B"/>
        </w:rPr>
        <w:t xml:space="preserve">9. Candidate outlets</w:t>
      </w:r>
    </w:p>
    <w:p>
      <w:pPr>
        <w:spacing w:after="120"/>
        <w:jc w:val="both"/>
      </w:pPr>
      <w:r>
        <w:rPr>
          <w:b w:val="false"/>
          <w:bCs w:val="false"/>
          <w:i w:val="false"/>
          <w:iCs w:val="false"/>
          <w:color w:val="000000"/>
          <w:sz w:val="21"/>
          <w:szCs w:val="21"/>
        </w:rPr>
        <w:t xml:space="preserve">A computational reanalysis with an explicit prediction section fits virology and cancer biology journals that accept secondary analysis: Viruses, Frontiers in Microbiology in the virology section, Journal of Medical Virology, Cancers, and Scientific Reports. Retrovirology and the Journal of Virology would expect experimental confirmation of at least one prediction, so they are targets for a follow up paper with a wet laboratory collaborator rather than for this one.</w:t>
      </w:r>
    </w:p>
    <w:p>
      <w:pPr>
        <w:pStyle w:val="Heading1"/>
        <w:spacing w:after="120" w:before="260"/>
      </w:pPr>
      <w:r>
        <w:rPr>
          <w:b/>
          <w:bCs/>
          <w:color w:val="14504B"/>
        </w:rPr>
        <w:t xml:space="preserve">10. References</w:t>
      </w:r>
    </w:p>
    <w:p>
      <w:pPr>
        <w:spacing w:after="200" w:before="60"/>
      </w:pPr>
      <w:r>
        <w:rPr>
          <w:i/>
          <w:iCs/>
          <w:color w:val="4A4A4A"/>
          <w:sz w:val="18"/>
          <w:szCs w:val="18"/>
        </w:rPr>
        <w:t xml:space="preserve">Each entry below was checked against the publisher or index record. Accession numbers were read from the data availability statements of the corresponding papers.</w:t>
      </w:r>
    </w:p>
    <w:p>
      <w:pPr>
        <w:spacing w:after="90"/>
        <w:ind w:left="340" w:hanging="340"/>
      </w:pPr>
      <w:r>
        <w:rPr>
          <w:sz w:val="20"/>
          <w:szCs w:val="20"/>
        </w:rPr>
        <w:t xml:space="preserve">Ren T, Takahashi Y, Liu X, Loughran TP, Sun SC, Wang HG, Cheng H. HTLV-1 Tax deregulates autophagy by recruiting autophagic molecules into lipid raft microdomains. Oncogene. 2015;34(3):334-345. doi:10.1038/onc.2013.552. PMID 24362528.</w:t>
      </w:r>
    </w:p>
    <w:p>
      <w:pPr>
        <w:spacing w:after="90"/>
        <w:ind w:left="340" w:hanging="340"/>
      </w:pPr>
      <w:r>
        <w:rPr>
          <w:sz w:val="20"/>
          <w:szCs w:val="20"/>
        </w:rPr>
        <w:t xml:space="preserve">Ren T, Dong W, Takahashi Y, Xiang D, Yuan Y, Liu X, et al. HTLV-2 Tax immortalizes human CD4+ memory T lymphocytes by oncogenic activation and dysregulation of autophagy. J Biol Chem. 2012;287(41):34683-34693. doi:10.1074/jbc.M112.377143.</w:t>
      </w:r>
    </w:p>
    <w:p>
      <w:pPr>
        <w:spacing w:after="90"/>
        <w:ind w:left="340" w:hanging="340"/>
      </w:pPr>
      <w:r>
        <w:rPr>
          <w:sz w:val="20"/>
          <w:szCs w:val="20"/>
        </w:rPr>
        <w:t xml:space="preserve">Wang W, Zhou J, Shi J, Zhang Y, Liu S, Liu Y, Zheng D. Human T-cell leukemia virus type 1 Tax-deregulated autophagy pathway and c-FLIP expression contribute to resistance against death receptor-mediated apoptosis. J Virol. 2014;88(5):2786-2798. doi:10.1128/JVI.03025-13.</w:t>
      </w:r>
    </w:p>
    <w:p>
      <w:pPr>
        <w:spacing w:after="90"/>
        <w:ind w:left="340" w:hanging="340"/>
      </w:pPr>
      <w:r>
        <w:rPr>
          <w:sz w:val="20"/>
          <w:szCs w:val="20"/>
        </w:rPr>
        <w:t xml:space="preserve">Chen L, Liu D, Zhang Y, Zhang H, Cheng H. The autophagy molecule Beclin 1 maintains persistent activity of NF-kB and Stat3 in HTLV-1-transformed T lymphocytes. Biochem Biophys Res Commun. 2015;465(4):739-745. doi:10.1016/j.bbrc.2015.08.070.</w:t>
      </w:r>
    </w:p>
    <w:p>
      <w:pPr>
        <w:spacing w:after="90"/>
        <w:ind w:left="340" w:hanging="340"/>
      </w:pPr>
      <w:r>
        <w:rPr>
          <w:sz w:val="20"/>
          <w:szCs w:val="20"/>
        </w:rPr>
        <w:t xml:space="preserve">Fujikawa D, Nakagawa S, Hori M, Kurokawa N, Soejima A, Nakano K, et al. Polycomb-dependent epigenetic landscape in adult T-cell leukemia. Blood. 2016;127(14):1790-1802. doi:10.1182/blood-2015-08-662593. Expression coordinates deposited under GSE33615 and GSE55851.</w:t>
      </w:r>
    </w:p>
    <w:p>
      <w:pPr>
        <w:spacing w:after="90"/>
        <w:ind w:left="340" w:hanging="340"/>
      </w:pPr>
      <w:r>
        <w:rPr>
          <w:sz w:val="20"/>
          <w:szCs w:val="20"/>
        </w:rPr>
        <w:t xml:space="preserve">Tosaka et al. HTLV-1 Tax reshapes the DNA-binding pattern of transcription factor IRF4 and disrupts host gene regulation. Cancer Sci. 2026. doi:10.1111/cas.70349. Data deposited under GSE316417 (RNA-seq), GSE316418 (ATAC-seq), GSE316419 (CUT and Tag), GSE316420 (ChIP-seq). Author list to be completed from the published record before submission.</w:t>
      </w:r>
    </w:p>
    <w:p>
      <w:pPr>
        <w:spacing w:after="90"/>
        <w:ind w:left="340" w:hanging="340"/>
      </w:pPr>
      <w:r>
        <w:rPr>
          <w:sz w:val="20"/>
          <w:szCs w:val="20"/>
        </w:rPr>
        <w:t xml:space="preserve">Kataoka K, et al. and the ATL whole-genome series, European Genome-phenome Archive datasets including EGAD00001001411 and EGAS00001005237. Controlled access, data access committee approval required. Citation to be completed against the specific series used.</w:t>
      </w:r>
    </w:p>
    <w:p>
      <w:pPr>
        <w:spacing w:after="90"/>
        <w:ind w:left="340" w:hanging="340"/>
      </w:pPr>
      <w:r>
        <w:rPr>
          <w:sz w:val="20"/>
          <w:szCs w:val="20"/>
        </w:rPr>
        <w:t xml:space="preserve">Lee IH, Finkel T. Regulation of the autophagy machinery by acetyltransferase p300. J Biol Chem. 2009;284(10):6322-6328. Retained from the 2012 proposal as the origin of the acetylation switch hypothesis; citation details to be re-verified against the journal record.</w:t>
      </w:r>
    </w:p>
    <w:p>
      <w:pPr>
        <w:spacing w:after="90"/>
        <w:ind w:left="340" w:hanging="340"/>
      </w:pPr>
      <w:r>
        <w:rPr>
          <w:sz w:val="20"/>
          <w:szCs w:val="20"/>
        </w:rPr>
        <w:t xml:space="preserve">Lee IH, Cao L, Mostoslavsky R, Lombard DB, Liu J, Bruns NE, et al. A role for the NAD-dependent deacetylase Sirt1 in the regulation of autophagy. Proc Natl Acad Sci USA. 2008;105(9):3374-3379. Retained from the 2012 proposal; citation details to be re-verified against the journal record.</w:t>
      </w:r>
    </w:p>
    <w:p>
      <w:pPr>
        <w:spacing w:after="200" w:before="60"/>
      </w:pPr>
      <w:r>
        <w:rPr>
          <w:i/>
          <w:iCs/>
          <w:color w:val="4A4A4A"/>
          <w:sz w:val="18"/>
          <w:szCs w:val="18"/>
        </w:rPr>
        <w:t xml:space="preserve">Two entries above carry explicit verification flags. They are listed so that the gap is visible rather than silently carried into the manuscript, and both are to be closed before the reference list is finalized.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04B" w:sz="6"/>
      </w:pBdr>
      <w:jc w:val="right"/>
    </w:pPr>
    <w:r>
      <w:rPr>
        <w:color w:val="4A4A4A"/>
        <w:sz w:val="17"/>
        <w:szCs w:val="17"/>
      </w:rPr>
      <w:t xml:space="preserve">Pre-analysis protocol  |  HTLV-1 and the autophagy lysosome program in ATL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4504B"/>
      <w:sz w:val="28"/>
      <w:szCs w:val="28"/>
    </w:rPr>
  </w:style>
  <w:style w:type="paragraph" w:styleId="Heading2">
    <w:name w:val="Heading 2"/>
    <w:basedOn w:val="Normal"/>
    <w:next w:val="Normal"/>
    <w:qFormat/>
    <w:rPr>
      <w:rFonts w:ascii="Calibri" w:cs="Calibri" w:eastAsia="Calibri" w:hAnsi="Calibri"/>
      <w:b/>
      <w:bCs/>
      <w:color w:val="14504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2026-08-17T16:04:33.592Z</dcterms:created>
  <dcterms:modified xsi:type="dcterms:W3CDTF">2026-08-17T16:04:33.592Z</dcterms:modified>
</cp:coreProperties>
</file>

<file path=docProps/custom.xml><?xml version="1.0" encoding="utf-8"?>
<Properties xmlns="http://schemas.openxmlformats.org/officeDocument/2006/custom-properties" xmlns:vt="http://schemas.openxmlformats.org/officeDocument/2006/docPropsVTypes"/>
</file>