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color w:val="5C6B3C"/>
          <w:sz w:val="20"/>
          <w:szCs w:val="20"/>
        </w:rPr>
        <w:t xml:space="preserve">PRE-ANALYSIS PROTOCOL, COMPANION STUDY</w:t>
      </w:r>
    </w:p>
    <w:p>
      <w:pPr>
        <w:pBdr>
          <w:bottom w:val="single" w:color="7A2E2E" w:sz="12" w:space="8"/>
        </w:pBdr>
        <w:spacing w:after="140"/>
        <w:jc w:val="center"/>
      </w:pPr>
      <w:r>
        <w:rPr>
          <w:rFonts w:ascii="Times New Roman" w:cs="Times New Roman" w:eastAsia="Times New Roman" w:hAnsi="Times New Roman"/>
          <w:b/>
          <w:bCs/>
          <w:i w:val="false"/>
          <w:iCs w:val="false"/>
          <w:color w:val="7A2E2E"/>
          <w:sz w:val="29"/>
          <w:szCs w:val="29"/>
        </w:rPr>
        <w:t xml:space="preserve">Does the luminal B share of a study population predict the Ki-67 cut-off it reports as optimal? A systematic review and meta-regression</w:t>
      </w:r>
    </w:p>
    <w:tbl>
      <w:tblPr>
        <w:tblW w:type="dxa" w:w="9360"/>
        <w:tblBorders>
          <w:top w:val="single" w:color="B79A96" w:sz="6"/>
          <w:left w:val="single" w:color="B79A96" w:sz="4"/>
          <w:bottom w:val="single" w:color="B79A96" w:sz="6"/>
          <w:right w:val="single" w:color="B79A96" w:sz="4"/>
          <w:insideH w:val="single" w:color="B79A96" w:sz="4"/>
          <w:insideV w:val="single" w:color="B79A96" w:sz="4"/>
        </w:tblBorders>
      </w:tblPr>
      <w:tblGrid>
        <w:gridCol w:w="2400"/>
        <w:gridCol w:w="6960"/>
      </w:tblGrid>
      <w:tr>
        <w:trPr>
          <w:tblHeader/>
        </w:trPr>
        <w:tc>
          <w:tcPr>
            <w:tcW w:type="dxa" w:w="2400"/>
            <w:shd w:fill="F1E7E4" w:color="auto" w:val="clear"/>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Item</w:t>
            </w:r>
          </w:p>
        </w:tc>
        <w:tc>
          <w:tcPr>
            <w:tcW w:type="dxa" w:w="6960"/>
            <w:shd w:fill="F1E7E4" w:color="auto" w:val="clear"/>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Detail</w:t>
            </w:r>
          </w:p>
        </w:tc>
      </w:tr>
      <w:tr>
        <w:tc>
          <w:tcPr>
            <w:tcW w:type="dxa" w:w="24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Investigator</w:t>
            </w:r>
          </w:p>
        </w:tc>
        <w:tc>
          <w:tcPr>
            <w:tcW w:type="dxa" w:w="696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Abdelmuhsen M. Abusneina, Department of Molecular Diagnostics, Faculty of Biomedical Sciences, University of Benghazi</w:t>
            </w:r>
          </w:p>
        </w:tc>
      </w:tr>
      <w:tr>
        <w:tc>
          <w:tcPr>
            <w:tcW w:type="dxa" w:w="24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Version</w:t>
            </w:r>
          </w:p>
        </w:tc>
        <w:tc>
          <w:tcPr>
            <w:tcW w:type="dxa" w:w="696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v1.0, frozen 13 October 2026, 19:40 (UTC+2), before any search was run or any record screened</w:t>
            </w:r>
          </w:p>
        </w:tc>
      </w:tr>
      <w:tr>
        <w:tc>
          <w:tcPr>
            <w:tcW w:type="dxa" w:w="24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Parent study</w:t>
            </w:r>
          </w:p>
        </w:tc>
        <w:tc>
          <w:tcPr>
            <w:tcW w:type="dxa" w:w="696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Proliferation cut-offs and surrogate luminal A/B assignment in TCGA-BRCA, METABRIC and SCAN-B (interim report of 13 October 2026, Amendment 6)</w:t>
            </w:r>
          </w:p>
        </w:tc>
      </w:tr>
      <w:tr>
        <w:tc>
          <w:tcPr>
            <w:tcW w:type="dxa" w:w="24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Registration</w:t>
            </w:r>
          </w:p>
        </w:tc>
        <w:tc>
          <w:tcPr>
            <w:tcW w:type="dxa" w:w="696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To be registered on the Open Science Framework before the search is executed; the registration DOI is to be entered in the amendment log</w:t>
            </w:r>
          </w:p>
        </w:tc>
      </w:tr>
      <w:tr>
        <w:tc>
          <w:tcPr>
            <w:tcW w:type="dxa" w:w="24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Reporting standard</w:t>
            </w:r>
          </w:p>
        </w:tc>
        <w:tc>
          <w:tcPr>
            <w:tcW w:type="dxa" w:w="696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PRISMA 2020</w:t>
            </w:r>
          </w:p>
        </w:tc>
      </w:tr>
    </w:tbl>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1. Rationale</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Published studies propose different "optimal" Ki-67 cut-offs for separating luminal A-like from luminal B-like breast cancer, among them 13.25 percent, 14 percent and 20 percent, and the spread is usually attributed to differences in staining, scoring and interobserver agreement. The parent study identified a further source of the spread. In three cohorts, a cut-off chosen to maximize agreement with a genomic reference moved one-for-one with the share of luminal B tumors in the population, while a cut-off chosen by Youden's index on the ROC curve did not move.</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If that mechanism operates in the published literature, it makes a testable prediction about absolute Ki-67 values. When a study chooses its cut-off by a criterion that depends on prevalence, such as maximum agreement, maximum accuracy or matching the reference subtype proportion, the optimal value should fall as the study's luminal B share rises. The reasoning is that the agreement-optimal threshold balances misclassified luminal A tumors against misclassified luminal B tumors, and a population with more luminal B tumors reaches that balance at a lower threshold. A cut-off chosen by Youden's index should show no such relationship, apart from noise from measurement differences between laboratories.</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This companion study tests that prediction across the published literature. A positive result would account for part of the disagreement among published cut-offs with a mechanism that can be checked. A null result would limit the parent finding to how cut-offs are calibrated on genomic data and would be reported with equal prominence.</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2. Prior knowledge disclosed at freeze</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No search has been run. The investigator is aware of the following studies from the parent work, and they will be screened by the same rules as every other record, with no special treatment:</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Cheang et al., J Natl Cancer Inst 2009: cut-off 13.25 percent, derived by ROC analysis against PAM50 in 144 hormone receptor-positive, HER2-negative tumors (84 luminal A, 60 luminal B, so a luminal B share of 41.7 percent).</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Prat et al., J Clin Oncol 2013: adds a progesterone receptor criterion of 20 percent while retaining the Ki-67 cut-off of 14 percent; no new Ki-67 optimum is derived.</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The St Gallen 2011 and 2013 consensus statements and the 2021 International Ki67 Working Group recommendations: these are consensus or guidance documents with no derivation and are excluded by design (criterion E3).</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3. Hypotheses</w:t>
      </w:r>
    </w:p>
    <w:p>
      <w:pPr>
        <w:spacing w:after="120" w:line="276"/>
        <w:jc w:val="both"/>
      </w:pPr>
      <w:r>
        <w:rPr>
          <w:rFonts w:ascii="Times New Roman" w:cs="Times New Roman" w:eastAsia="Times New Roman" w:hAnsi="Times New Roman"/>
          <w:b/>
          <w:bCs/>
          <w:i w:val="false"/>
          <w:iCs w:val="false"/>
          <w:color w:val="000000"/>
          <w:sz w:val="22"/>
          <w:szCs w:val="22"/>
        </w:rPr>
        <w:t xml:space="preserve">H-L1 (primary). </w:t>
      </w:r>
      <w:r>
        <w:rPr>
          <w:rFonts w:ascii="Times New Roman" w:cs="Times New Roman" w:eastAsia="Times New Roman" w:hAnsi="Times New Roman"/>
          <w:b w:val="false"/>
          <w:bCs w:val="false"/>
          <w:i w:val="false"/>
          <w:iCs w:val="false"/>
          <w:color w:val="000000"/>
          <w:sz w:val="22"/>
          <w:szCs w:val="22"/>
        </w:rPr>
        <w:t xml:space="preserve">Among studies that derive the cut-off by a prevalence-dependent criterion, the reported optimal Ki-67 percentage is inversely associated with the luminal B share of the study population. The prediction is directional: slope below zero.</w:t>
      </w:r>
    </w:p>
    <w:p>
      <w:pPr>
        <w:spacing w:after="120" w:line="276"/>
        <w:jc w:val="both"/>
      </w:pPr>
      <w:r>
        <w:rPr>
          <w:rFonts w:ascii="Times New Roman" w:cs="Times New Roman" w:eastAsia="Times New Roman" w:hAnsi="Times New Roman"/>
          <w:b/>
          <w:bCs/>
          <w:i w:val="false"/>
          <w:iCs w:val="false"/>
          <w:color w:val="000000"/>
          <w:sz w:val="22"/>
          <w:szCs w:val="22"/>
        </w:rPr>
        <w:t xml:space="preserve">H-L2 (contrast). </w:t>
      </w:r>
      <w:r>
        <w:rPr>
          <w:rFonts w:ascii="Times New Roman" w:cs="Times New Roman" w:eastAsia="Times New Roman" w:hAnsi="Times New Roman"/>
          <w:b w:val="false"/>
          <w:bCs w:val="false"/>
          <w:i w:val="false"/>
          <w:iCs w:val="false"/>
          <w:color w:val="000000"/>
          <w:sz w:val="22"/>
          <w:szCs w:val="22"/>
        </w:rPr>
        <w:t xml:space="preserve">Among studies that derive the cut-off by Youden's index or the ROC point closest to (0,1), the slope is closer to zero than in the H-L1 stratum. Tested as the interaction between derivation criterion and luminal B share.</w:t>
      </w:r>
    </w:p>
    <w:p>
      <w:pPr>
        <w:spacing w:after="120" w:line="276"/>
        <w:jc w:val="both"/>
      </w:pPr>
      <w:r>
        <w:rPr>
          <w:rFonts w:ascii="Times New Roman" w:cs="Times New Roman" w:eastAsia="Times New Roman" w:hAnsi="Times New Roman"/>
          <w:b/>
          <w:bCs/>
          <w:i w:val="false"/>
          <w:iCs w:val="false"/>
          <w:color w:val="000000"/>
          <w:sz w:val="22"/>
          <w:szCs w:val="22"/>
        </w:rPr>
        <w:t xml:space="preserve">Descriptive aim. </w:t>
      </w:r>
      <w:r>
        <w:rPr>
          <w:rFonts w:ascii="Times New Roman" w:cs="Times New Roman" w:eastAsia="Times New Roman" w:hAnsi="Times New Roman"/>
          <w:b w:val="false"/>
          <w:bCs w:val="false"/>
          <w:i w:val="false"/>
          <w:iCs w:val="false"/>
          <w:color w:val="000000"/>
          <w:sz w:val="22"/>
          <w:szCs w:val="22"/>
        </w:rPr>
        <w:t xml:space="preserve">Characterize the full spread of reported optimal cut-offs and the share of that spread explained by luminal B share, derivation criterion, scoring method and reference standard.</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4. Eligibility</w:t>
      </w:r>
    </w:p>
    <w:p>
      <w:pPr>
        <w:keepNext/>
        <w:spacing w:after="90" w:before="180"/>
      </w:pPr>
      <w:r>
        <w:rPr>
          <w:rFonts w:ascii="Times New Roman" w:cs="Times New Roman" w:eastAsia="Times New Roman" w:hAnsi="Times New Roman"/>
          <w:b/>
          <w:bCs/>
          <w:i w:val="false"/>
          <w:iCs w:val="false"/>
          <w:color w:val="5C6B3C"/>
          <w:sz w:val="23"/>
          <w:szCs w:val="23"/>
        </w:rPr>
        <w:t xml:space="preserve">Inclusion</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Original study of human primary invasive breast cancer, published in a peer-reviewed journal in English.</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Ki-67 measured by immunohistochemistry and reported as a percentage of positive tumor nuclei.</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A Ki-67 cut-off derived within the study to separate luminal A from luminal B, in hormone receptor-positive, HER2-negative tumors or in all luminal tumors.</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The derivation uses a classification reference: PAM50 or another multigene intrinsic subtype assay (reference class R1), or a multigene risk assay dichotomized into low and high risk, such as the 21-gene recurrence score or the 70-gene signature (reference class R2).</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The paper reports, or allows exact calculation of, the number or proportion of luminal B (or high-risk) tumors among the tumors used for the derivation.</w:t>
      </w:r>
    </w:p>
    <w:p>
      <w:pPr>
        <w:keepNext/>
        <w:spacing w:after="90" w:before="180"/>
      </w:pPr>
      <w:r>
        <w:rPr>
          <w:rFonts w:ascii="Times New Roman" w:cs="Times New Roman" w:eastAsia="Times New Roman" w:hAnsi="Times New Roman"/>
          <w:b/>
          <w:bCs/>
          <w:i w:val="false"/>
          <w:iCs w:val="false"/>
          <w:color w:val="5C6B3C"/>
          <w:sz w:val="23"/>
          <w:szCs w:val="23"/>
        </w:rPr>
        <w:t xml:space="preserve">Exclusion</w:t>
      </w:r>
    </w:p>
    <w:p>
      <w:pPr>
        <w:spacing w:after="120" w:line="276"/>
        <w:jc w:val="both"/>
      </w:pPr>
      <w:r>
        <w:rPr>
          <w:rFonts w:ascii="Times New Roman" w:cs="Times New Roman" w:eastAsia="Times New Roman" w:hAnsi="Times New Roman"/>
          <w:b/>
          <w:bCs/>
          <w:i w:val="false"/>
          <w:iCs w:val="false"/>
          <w:color w:val="000000"/>
          <w:sz w:val="22"/>
          <w:szCs w:val="22"/>
        </w:rPr>
        <w:t xml:space="preserve">E1. </w:t>
      </w:r>
      <w:r>
        <w:rPr>
          <w:rFonts w:ascii="Times New Roman" w:cs="Times New Roman" w:eastAsia="Times New Roman" w:hAnsi="Times New Roman"/>
          <w:b w:val="false"/>
          <w:bCs w:val="false"/>
          <w:i w:val="false"/>
          <w:iCs w:val="false"/>
          <w:color w:val="000000"/>
          <w:sz w:val="22"/>
          <w:szCs w:val="22"/>
        </w:rPr>
        <w:t xml:space="preserve">Cut-off derived only from survival or recurrence outcomes. This is a different construct, recorded in a separate descriptive list.</w:t>
      </w:r>
    </w:p>
    <w:p>
      <w:pPr>
        <w:spacing w:after="120" w:line="276"/>
        <w:jc w:val="both"/>
      </w:pPr>
      <w:r>
        <w:rPr>
          <w:rFonts w:ascii="Times New Roman" w:cs="Times New Roman" w:eastAsia="Times New Roman" w:hAnsi="Times New Roman"/>
          <w:b/>
          <w:bCs/>
          <w:i w:val="false"/>
          <w:iCs w:val="false"/>
          <w:color w:val="000000"/>
          <w:sz w:val="22"/>
          <w:szCs w:val="22"/>
        </w:rPr>
        <w:t xml:space="preserve">E2. </w:t>
      </w:r>
      <w:r>
        <w:rPr>
          <w:rFonts w:ascii="Times New Roman" w:cs="Times New Roman" w:eastAsia="Times New Roman" w:hAnsi="Times New Roman"/>
          <w:b w:val="false"/>
          <w:bCs w:val="false"/>
          <w:i w:val="false"/>
          <w:iCs w:val="false"/>
          <w:color w:val="000000"/>
          <w:sz w:val="22"/>
          <w:szCs w:val="22"/>
        </w:rPr>
        <w:t xml:space="preserve">Cut-off adopted from earlier work, with no derivation in the study.</w:t>
      </w:r>
    </w:p>
    <w:p>
      <w:pPr>
        <w:spacing w:after="120" w:line="276"/>
        <w:jc w:val="both"/>
      </w:pPr>
      <w:r>
        <w:rPr>
          <w:rFonts w:ascii="Times New Roman" w:cs="Times New Roman" w:eastAsia="Times New Roman" w:hAnsi="Times New Roman"/>
          <w:b/>
          <w:bCs/>
          <w:i w:val="false"/>
          <w:iCs w:val="false"/>
          <w:color w:val="000000"/>
          <w:sz w:val="22"/>
          <w:szCs w:val="22"/>
        </w:rPr>
        <w:t xml:space="preserve">E3. </w:t>
      </w:r>
      <w:r>
        <w:rPr>
          <w:rFonts w:ascii="Times New Roman" w:cs="Times New Roman" w:eastAsia="Times New Roman" w:hAnsi="Times New Roman"/>
          <w:b w:val="false"/>
          <w:bCs w:val="false"/>
          <w:i w:val="false"/>
          <w:iCs w:val="false"/>
          <w:color w:val="000000"/>
          <w:sz w:val="22"/>
          <w:szCs w:val="22"/>
        </w:rPr>
        <w:t xml:space="preserve">Reviews, consensus statements, guidelines, editorials, letters without original data, and case reports.</w:t>
      </w:r>
    </w:p>
    <w:p>
      <w:pPr>
        <w:spacing w:after="120" w:line="276"/>
        <w:jc w:val="both"/>
      </w:pPr>
      <w:r>
        <w:rPr>
          <w:rFonts w:ascii="Times New Roman" w:cs="Times New Roman" w:eastAsia="Times New Roman" w:hAnsi="Times New Roman"/>
          <w:b/>
          <w:bCs/>
          <w:i w:val="false"/>
          <w:iCs w:val="false"/>
          <w:color w:val="000000"/>
          <w:sz w:val="22"/>
          <w:szCs w:val="22"/>
        </w:rPr>
        <w:t xml:space="preserve">E4. </w:t>
      </w:r>
      <w:r>
        <w:rPr>
          <w:rFonts w:ascii="Times New Roman" w:cs="Times New Roman" w:eastAsia="Times New Roman" w:hAnsi="Times New Roman"/>
          <w:b w:val="false"/>
          <w:bCs w:val="false"/>
          <w:i w:val="false"/>
          <w:iCs w:val="false"/>
          <w:color w:val="000000"/>
          <w:sz w:val="22"/>
          <w:szCs w:val="22"/>
        </w:rPr>
        <w:t xml:space="preserve">Conference abstracts, excluded from the primary analysis because methods are rarely reported in enough detail. Abstracts meeting all other criteria are listed and used in a sensitivity analysis.</w:t>
      </w:r>
    </w:p>
    <w:p>
      <w:pPr>
        <w:spacing w:after="120" w:line="276"/>
        <w:jc w:val="both"/>
      </w:pPr>
      <w:r>
        <w:rPr>
          <w:rFonts w:ascii="Times New Roman" w:cs="Times New Roman" w:eastAsia="Times New Roman" w:hAnsi="Times New Roman"/>
          <w:b/>
          <w:bCs/>
          <w:i w:val="false"/>
          <w:iCs w:val="false"/>
          <w:color w:val="000000"/>
          <w:sz w:val="22"/>
          <w:szCs w:val="22"/>
        </w:rPr>
        <w:t xml:space="preserve">E5. </w:t>
      </w:r>
      <w:r>
        <w:rPr>
          <w:rFonts w:ascii="Times New Roman" w:cs="Times New Roman" w:eastAsia="Times New Roman" w:hAnsi="Times New Roman"/>
          <w:b w:val="false"/>
          <w:bCs w:val="false"/>
          <w:i w:val="false"/>
          <w:iCs w:val="false"/>
          <w:color w:val="000000"/>
          <w:sz w:val="22"/>
          <w:szCs w:val="22"/>
        </w:rPr>
        <w:t xml:space="preserve">Neoadjuvant or post-treatment Ki-67, or Ki-67 measured on core biopsies after systemic therapy.</w:t>
      </w:r>
    </w:p>
    <w:p>
      <w:pPr>
        <w:spacing w:after="120" w:line="276"/>
        <w:jc w:val="both"/>
      </w:pPr>
      <w:r>
        <w:rPr>
          <w:rFonts w:ascii="Times New Roman" w:cs="Times New Roman" w:eastAsia="Times New Roman" w:hAnsi="Times New Roman"/>
          <w:b/>
          <w:bCs/>
          <w:i w:val="false"/>
          <w:iCs w:val="false"/>
          <w:color w:val="000000"/>
          <w:sz w:val="22"/>
          <w:szCs w:val="22"/>
        </w:rPr>
        <w:t xml:space="preserve">E6. </w:t>
      </w:r>
      <w:r>
        <w:rPr>
          <w:rFonts w:ascii="Times New Roman" w:cs="Times New Roman" w:eastAsia="Times New Roman" w:hAnsi="Times New Roman"/>
          <w:b w:val="false"/>
          <w:bCs w:val="false"/>
          <w:i w:val="false"/>
          <w:iCs w:val="false"/>
          <w:color w:val="000000"/>
          <w:sz w:val="22"/>
          <w:szCs w:val="22"/>
        </w:rPr>
        <w:t xml:space="preserve">Duplicate cohorts. Where a population appears in several papers, the one with the largest derivation set is kept.</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5. Search</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Databases: PubMed/MEDLINE and Europe PMC, from inception to the date of search. Reference lists of included studies and of the 2011 and 2021 International Ki67 Working Group papers are screened by hand. The PubMed string is fixed below; the Europe PMC string uses the same terms in that database's syntax.</w:t>
      </w:r>
    </w:p>
    <w:p>
      <w:pPr>
        <w:shd w:fill="F6F2F0" w:color="auto" w:val="clear"/>
        <w:spacing w:after="60" w:line="240"/>
        <w:ind w:left="300"/>
      </w:pPr>
      <w:r>
        <w:rPr>
          <w:rFonts w:ascii="Courier New" w:cs="Courier New" w:eastAsia="Courier New" w:hAnsi="Courier New"/>
          <w:b w:val="false"/>
          <w:bCs w:val="false"/>
          <w:i w:val="false"/>
          <w:iCs w:val="false"/>
          <w:color w:val="000000"/>
          <w:sz w:val="17"/>
          <w:szCs w:val="17"/>
        </w:rPr>
        <w:t xml:space="preserve">("Ki-67 Antigen"[MeSH] OR Ki67[tiab] OR "Ki-67"[tiab] OR MIB-1[tiab] OR MIB1[tiab])</w:t>
      </w:r>
    </w:p>
    <w:p>
      <w:pPr>
        <w:shd w:fill="F6F2F0" w:color="auto" w:val="clear"/>
        <w:spacing w:after="60" w:line="240"/>
        <w:ind w:left="300"/>
      </w:pPr>
      <w:r>
        <w:rPr>
          <w:rFonts w:ascii="Courier New" w:cs="Courier New" w:eastAsia="Courier New" w:hAnsi="Courier New"/>
          <w:b w:val="false"/>
          <w:bCs w:val="false"/>
          <w:i w:val="false"/>
          <w:iCs w:val="false"/>
          <w:color w:val="000000"/>
          <w:sz w:val="17"/>
          <w:szCs w:val="17"/>
        </w:rPr>
        <w:t xml:space="preserve">AND ("Breast Neoplasms"[MeSH] OR "breast cancer"[tiab] OR "breast carcinoma"[tiab])</w:t>
      </w:r>
    </w:p>
    <w:p>
      <w:pPr>
        <w:shd w:fill="F6F2F0" w:color="auto" w:val="clear"/>
        <w:spacing w:after="60" w:line="240"/>
        <w:ind w:left="300"/>
      </w:pPr>
      <w:r>
        <w:rPr>
          <w:rFonts w:ascii="Courier New" w:cs="Courier New" w:eastAsia="Courier New" w:hAnsi="Courier New"/>
          <w:b w:val="false"/>
          <w:bCs w:val="false"/>
          <w:i w:val="false"/>
          <w:iCs w:val="false"/>
          <w:color w:val="000000"/>
          <w:sz w:val="17"/>
          <w:szCs w:val="17"/>
        </w:rPr>
        <w:t xml:space="preserve">AND (cutoff[tiab] OR "cut-off"[tiab] OR "cut off"[tiab] OR cutpoint[tiab] OR "cut-point"[tiab] OR threshold[tiab])</w:t>
      </w:r>
    </w:p>
    <w:p>
      <w:pPr>
        <w:shd w:fill="F6F2F0" w:color="auto" w:val="clear"/>
        <w:spacing w:after="60" w:line="240"/>
        <w:ind w:left="300"/>
      </w:pPr>
      <w:r>
        <w:rPr>
          <w:rFonts w:ascii="Courier New" w:cs="Courier New" w:eastAsia="Courier New" w:hAnsi="Courier New"/>
          <w:b w:val="false"/>
          <w:bCs w:val="false"/>
          <w:i w:val="false"/>
          <w:iCs w:val="false"/>
          <w:color w:val="000000"/>
          <w:sz w:val="17"/>
          <w:szCs w:val="17"/>
        </w:rPr>
        <w:t xml:space="preserve">AND (luminal[tiab] OR PAM50[tiab] OR "intrinsic subtype"[tiab] OR Prosigna[tiab] OR "recurrence score"[tiab]</w:t>
      </w:r>
    </w:p>
    <w:p>
      <w:pPr>
        <w:shd w:fill="F6F2F0" w:color="auto" w:val="clear"/>
        <w:spacing w:after="60" w:line="240"/>
        <w:ind w:left="300"/>
      </w:pPr>
      <w:r>
        <w:rPr>
          <w:rFonts w:ascii="Courier New" w:cs="Courier New" w:eastAsia="Courier New" w:hAnsi="Courier New"/>
          <w:b w:val="false"/>
          <w:bCs w:val="false"/>
          <w:i w:val="false"/>
          <w:iCs w:val="false"/>
          <w:color w:val="000000"/>
          <w:sz w:val="17"/>
          <w:szCs w:val="17"/>
        </w:rPr>
        <w:t xml:space="preserve">     OR Oncotype[tiab] OR MammaPrint[tiab] OR "70-gene"[tiab] OR "21-gene"[tiab] OR BluePrint[tiab])</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Feasibility rule. If the primary stratum (prevalence-dependent criterion, reference class R1) contains fewer than 8 studies after full-text screening, the primary test is not run. The analysis then pools R1 and R2 as a pre-specified fallback, and if fewer than 8 studies remain, the work is reported as a descriptive systematic review with no inferential claim.</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6. Screening and extraction</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Two reviewers screen titles and abstracts, then full texts, independently, and resolve disagreements by discussion. AI tools may assist the first pass of screening and extraction, but every included record and every extracted value is checked by a human reviewer against the published PDF. No value is entered from memory or from a secondary source. This rule guards against the transcription and attribution errors known to occur in AI-assisted extraction.</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Extraction is done in two blinded passes so that classifying the derivation method cannot be influenced by the cut-off a study reports.</w:t>
      </w:r>
    </w:p>
    <w:p>
      <w:pPr>
        <w:spacing w:after="120" w:line="276"/>
        <w:jc w:val="both"/>
      </w:pPr>
      <w:r>
        <w:rPr>
          <w:rFonts w:ascii="Times New Roman" w:cs="Times New Roman" w:eastAsia="Times New Roman" w:hAnsi="Times New Roman"/>
          <w:b/>
          <w:bCs/>
          <w:i w:val="false"/>
          <w:iCs w:val="false"/>
          <w:color w:val="000000"/>
          <w:sz w:val="22"/>
          <w:szCs w:val="22"/>
        </w:rPr>
        <w:t xml:space="preserve">Pass 1, design. </w:t>
      </w:r>
      <w:r>
        <w:rPr>
          <w:rFonts w:ascii="Times New Roman" w:cs="Times New Roman" w:eastAsia="Times New Roman" w:hAnsi="Times New Roman"/>
          <w:b w:val="false"/>
          <w:bCs w:val="false"/>
          <w:i w:val="false"/>
          <w:iCs w:val="false"/>
          <w:color w:val="000000"/>
          <w:sz w:val="22"/>
          <w:szCs w:val="22"/>
        </w:rPr>
        <w:t xml:space="preserve">Reference standard, reference class (R1 or R2), derivation criterion, derivation population (HR+/HER2- or all luminal), number of tumors, number of luminal B or high-risk tumors, Ki-67 scoring method (global, hotspot, average, digital), antibody clone, country and period of accrual. Reviewers working on Pass 1 see the methods section only, with the results and abstract masked.</w:t>
      </w:r>
    </w:p>
    <w:p>
      <w:pPr>
        <w:spacing w:after="120" w:line="276"/>
        <w:jc w:val="both"/>
      </w:pPr>
      <w:r>
        <w:rPr>
          <w:rFonts w:ascii="Times New Roman" w:cs="Times New Roman" w:eastAsia="Times New Roman" w:hAnsi="Times New Roman"/>
          <w:b/>
          <w:bCs/>
          <w:i w:val="false"/>
          <w:iCs w:val="false"/>
          <w:color w:val="000000"/>
          <w:sz w:val="22"/>
          <w:szCs w:val="22"/>
        </w:rPr>
        <w:t xml:space="preserve">Pass 2, outcome. </w:t>
      </w:r>
      <w:r>
        <w:rPr>
          <w:rFonts w:ascii="Times New Roman" w:cs="Times New Roman" w:eastAsia="Times New Roman" w:hAnsi="Times New Roman"/>
          <w:b w:val="false"/>
          <w:bCs w:val="false"/>
          <w:i w:val="false"/>
          <w:iCs w:val="false"/>
          <w:color w:val="000000"/>
          <w:sz w:val="22"/>
          <w:szCs w:val="22"/>
        </w:rPr>
        <w:t xml:space="preserve">Reported optimal Ki-67 cut-off and any reported measure of its precision.</w:t>
      </w:r>
    </w:p>
    <w:p>
      <w:pPr>
        <w:keepNext/>
        <w:spacing w:after="80" w:before="180"/>
      </w:pPr>
      <w:r>
        <w:rPr>
          <w:rFonts w:ascii="Times New Roman" w:cs="Times New Roman" w:eastAsia="Times New Roman" w:hAnsi="Times New Roman"/>
          <w:b/>
          <w:bCs/>
          <w:i w:val="false"/>
          <w:iCs w:val="false"/>
          <w:color w:val="7A2E2E"/>
          <w:sz w:val="21"/>
          <w:szCs w:val="21"/>
        </w:rPr>
        <w:t xml:space="preserve">Table 1. Classification of the derivation criterion, fixed before screening.</w:t>
      </w:r>
    </w:p>
    <w:tbl>
      <w:tblPr>
        <w:tblW w:type="dxa" w:w="9360"/>
        <w:tblBorders>
          <w:top w:val="single" w:color="B79A96" w:sz="6"/>
          <w:left w:val="single" w:color="B79A96" w:sz="4"/>
          <w:bottom w:val="single" w:color="B79A96" w:sz="6"/>
          <w:right w:val="single" w:color="B79A96" w:sz="4"/>
          <w:insideH w:val="single" w:color="B79A96" w:sz="4"/>
          <w:insideV w:val="single" w:color="B79A96" w:sz="4"/>
        </w:tblBorders>
      </w:tblPr>
      <w:tblGrid>
        <w:gridCol w:w="2600"/>
        <w:gridCol w:w="4100"/>
        <w:gridCol w:w="2660"/>
      </w:tblGrid>
      <w:tr>
        <w:trPr>
          <w:tblHeader/>
        </w:trPr>
        <w:tc>
          <w:tcPr>
            <w:tcW w:type="dxa" w:w="2600"/>
            <w:shd w:fill="F1E7E4" w:color="auto" w:val="clear"/>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Stratum</w:t>
            </w:r>
          </w:p>
        </w:tc>
        <w:tc>
          <w:tcPr>
            <w:tcW w:type="dxa" w:w="4100"/>
            <w:shd w:fill="F1E7E4" w:color="auto" w:val="clear"/>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Criterion as described in the paper</w:t>
            </w:r>
          </w:p>
        </w:tc>
        <w:tc>
          <w:tcPr>
            <w:tcW w:type="dxa" w:w="2660"/>
            <w:shd w:fill="F1E7E4" w:color="auto" w:val="clear"/>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Prevalence dependence</w:t>
            </w:r>
          </w:p>
        </w:tc>
      </w:tr>
      <w:tr>
        <w:tc>
          <w:tcPr>
            <w:tcW w:type="dxa" w:w="26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P (prevalence-dependent)</w:t>
            </w:r>
          </w:p>
        </w:tc>
        <w:tc>
          <w:tcPr>
            <w:tcW w:type="dxa" w:w="41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Maximum Cohen kappa, maximum accuracy or overall agreement, maximum concordance, cut-off chosen to reproduce the reference subtype proportion</w:t>
            </w:r>
          </w:p>
        </w:tc>
        <w:tc>
          <w:tcPr>
            <w:tcW w:type="dxa" w:w="266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Yes; H-L1 stratum</w:t>
            </w:r>
          </w:p>
        </w:tc>
      </w:tr>
      <w:tr>
        <w:tc>
          <w:tcPr>
            <w:tcW w:type="dxa" w:w="26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Y (Youden-type)</w:t>
            </w:r>
          </w:p>
        </w:tc>
        <w:tc>
          <w:tcPr>
            <w:tcW w:type="dxa" w:w="41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Maximum Youden index, maximum sensitivity plus specificity, ROC point closest to (0,1)</w:t>
            </w:r>
          </w:p>
        </w:tc>
        <w:tc>
          <w:tcPr>
            <w:tcW w:type="dxa" w:w="266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No; H-L2 contrast stratum</w:t>
            </w:r>
          </w:p>
        </w:tc>
      </w:tr>
      <w:tr>
        <w:tc>
          <w:tcPr>
            <w:tcW w:type="dxa" w:w="26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bCs/>
                <w:i w:val="false"/>
                <w:iCs w:val="false"/>
                <w:color w:val="000000"/>
                <w:sz w:val="19"/>
                <w:szCs w:val="19"/>
              </w:rPr>
              <w:t xml:space="preserve">U (unclear)</w:t>
            </w:r>
          </w:p>
        </w:tc>
        <w:tc>
          <w:tcPr>
            <w:tcW w:type="dxa" w:w="410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"ROC analysis" with no criterion stated, or any other criterion</w:t>
            </w:r>
          </w:p>
        </w:tc>
        <w:tc>
          <w:tcPr>
            <w:tcW w:type="dxa" w:w="2660"/>
            <w:tcMar>
              <w:top w:type="dxa" w:w="50"/>
              <w:left w:type="dxa" w:w="90"/>
              <w:bottom w:type="dxa" w:w="50"/>
              <w:right w:type="dxa" w:w="90"/>
            </w:tcMar>
            <w:vAlign w:val="center"/>
          </w:tcPr>
          <w:p>
            <w:pPr>
              <w:spacing w:after="30" w:before="30" w:line="240"/>
            </w:pPr>
            <w:r>
              <w:rPr>
                <w:rFonts w:ascii="Times New Roman" w:cs="Times New Roman" w:eastAsia="Times New Roman" w:hAnsi="Times New Roman"/>
                <w:b w:val="false"/>
                <w:bCs w:val="false"/>
                <w:i w:val="false"/>
                <w:iCs w:val="false"/>
                <w:color w:val="000000"/>
                <w:sz w:val="19"/>
                <w:szCs w:val="19"/>
              </w:rPr>
              <w:t xml:space="preserve">Unknown; excluded from H-L1 and H-L2, included descriptively</w:t>
            </w:r>
          </w:p>
        </w:tc>
      </w:tr>
    </w:tbl>
    <w:p>
      <w:pPr>
        <w:spacing w:after="200" w:before="80"/>
        <w:jc w:val="both"/>
      </w:pPr>
      <w:r>
        <w:rPr>
          <w:rFonts w:ascii="Times New Roman" w:cs="Times New Roman" w:eastAsia="Times New Roman" w:hAnsi="Times New Roman"/>
          <w:b w:val="false"/>
          <w:bCs w:val="false"/>
          <w:i w:val="false"/>
          <w:iCs w:val="false"/>
          <w:color w:val="3C3C3C"/>
          <w:sz w:val="19"/>
          <w:szCs w:val="19"/>
        </w:rPr>
        <w:t xml:space="preserve">A study stating only "ROC analysis" is classed U, never Y. Treating it as Youden-type would be a guess about a method the authors did not report.</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7. Analysis</w:t>
      </w:r>
    </w:p>
    <w:p>
      <w:pPr>
        <w:keepNext/>
        <w:spacing w:after="90" w:before="180"/>
      </w:pPr>
      <w:r>
        <w:rPr>
          <w:rFonts w:ascii="Times New Roman" w:cs="Times New Roman" w:eastAsia="Times New Roman" w:hAnsi="Times New Roman"/>
          <w:b/>
          <w:bCs/>
          <w:i w:val="false"/>
          <w:iCs w:val="false"/>
          <w:color w:val="5C6B3C"/>
          <w:sz w:val="23"/>
          <w:szCs w:val="23"/>
        </w:rPr>
        <w:t xml:space="preserve">Primary test of H-L1</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Weighted linear meta-regression of the reported optimal cut-off (percent) on the luminal B share (percent) in stratum P, reference class R1. Weights are the number of tumors in the derivation set. Fitting is by weighted least squares with heteroskedasticity-robust (HC3) standard errors, since most studies report no variance for their cut-off. The quantity reported is the slope with its 95 percent confidence interval. H-L1 is supported if the upper confidence limit of the slope is below zero.</w:t>
      </w:r>
    </w:p>
    <w:p>
      <w:pPr>
        <w:keepNext/>
        <w:spacing w:after="90" w:before="180"/>
      </w:pPr>
      <w:r>
        <w:rPr>
          <w:rFonts w:ascii="Times New Roman" w:cs="Times New Roman" w:eastAsia="Times New Roman" w:hAnsi="Times New Roman"/>
          <w:b/>
          <w:bCs/>
          <w:i w:val="false"/>
          <w:iCs w:val="false"/>
          <w:color w:val="5C6B3C"/>
          <w:sz w:val="23"/>
          <w:szCs w:val="23"/>
        </w:rPr>
        <w:t xml:space="preserve">Test of H-L2</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The same model fitted to strata P and Y together, with a criterion-by-share interaction. H-L2 is supported if the interaction shows a steeper negative slope in P than in Y, with the 95 percent confidence interval of the difference excluding zero. Because stratum Y may be small, a null interaction is reported as uninformative rather than as evidence that the slopes are equal.</w:t>
      </w:r>
    </w:p>
    <w:p>
      <w:pPr>
        <w:keepNext/>
        <w:spacing w:after="90" w:before="180"/>
      </w:pPr>
      <w:r>
        <w:rPr>
          <w:rFonts w:ascii="Times New Roman" w:cs="Times New Roman" w:eastAsia="Times New Roman" w:hAnsi="Times New Roman"/>
          <w:b/>
          <w:bCs/>
          <w:i w:val="false"/>
          <w:iCs w:val="false"/>
          <w:color w:val="5C6B3C"/>
          <w:sz w:val="23"/>
          <w:szCs w:val="23"/>
        </w:rPr>
        <w:t xml:space="preserve">Pre-specified covariates and sensitivity analyses</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Scoring method (global or average against hotspot) added as a covariate, since hotspot scoring raises reported Ki-67 values.</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Restriction to derivation sets of at least 100 tumors.</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Fallback pooling of reference classes R1 and R2, as specified in Section 5.</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Inclusion of conference abstracts (criterion E4).</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Leave-one-out influence analysis on the primary slope.</w:t>
      </w:r>
    </w:p>
    <w:p>
      <w:pPr>
        <w:keepNext/>
        <w:spacing w:after="90" w:before="180"/>
      </w:pPr>
      <w:r>
        <w:rPr>
          <w:rFonts w:ascii="Times New Roman" w:cs="Times New Roman" w:eastAsia="Times New Roman" w:hAnsi="Times New Roman"/>
          <w:b/>
          <w:bCs/>
          <w:i w:val="false"/>
          <w:iCs w:val="false"/>
          <w:color w:val="5C6B3C"/>
          <w:sz w:val="23"/>
          <w:szCs w:val="23"/>
        </w:rPr>
        <w:t xml:space="preserve">Risk of bias</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Each study is rated on four items: whether the reference standard is a validated assay; whether the derivation population is HR+/HER2- and defined; whether the derivation criterion is stated explicitly; and whether the Ki-67 scoring method is reported. Ratings are made in Pass 1 and are not used to exclude studies. A sensitivity analysis restricted to studies rated low risk on all four items is reported.</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8. Anticipated limitations</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Ki-67 values from different laboratories are not directly comparable, because staining, antibody and scoring practice vary. This adds noise to the outcome and biases the slope toward zero, which works against H-L1.</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Luminal B share differs between studies partly for reasons that may also affect Ki-67 values, such as patient age and the period of accrual. The analysis is ecological, at the study level, and any association is reported as such.</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Studies report derivation methods inconsistently, so stratum U may be large and the strata P and Y small.</w:t>
      </w:r>
    </w:p>
    <w:p>
      <w:pPr>
        <w:pStyle w:val="ListParagraph"/>
        <w:numPr>
          <w:ilvl w:val="0"/>
          <w:numId w:val="2"/>
        </w:numPr>
        <w:spacing w:after="80" w:line="276"/>
        <w:jc w:val="both"/>
      </w:pPr>
      <w:r>
        <w:rPr>
          <w:rFonts w:ascii="Times New Roman" w:cs="Times New Roman" w:eastAsia="Times New Roman" w:hAnsi="Times New Roman"/>
          <w:b w:val="false"/>
          <w:bCs w:val="false"/>
          <w:i w:val="false"/>
          <w:iCs w:val="false"/>
          <w:color w:val="000000"/>
          <w:sz w:val="22"/>
          <w:szCs w:val="22"/>
        </w:rPr>
        <w:t xml:space="preserve">Only studies published in English are included.</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9. Decision rules fixed at freeze</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The strata, reference classes, search string, feasibility threshold and primary model are not changed after the search is run.</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A study's stratum is set in Pass 1 and is not revised after its cut-off is seen.</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If H-L1 is not supported, the result is reported in the main text of the parent manuscript and is not moved to supplementary material.</w:t>
      </w:r>
    </w:p>
    <w:p>
      <w:pPr>
        <w:pStyle w:val="ListParagraph"/>
        <w:numPr>
          <w:ilvl w:val="0"/>
          <w:numId w:val="3"/>
        </w:numPr>
        <w:spacing w:after="80" w:line="276"/>
        <w:jc w:val="both"/>
      </w:pPr>
      <w:r>
        <w:rPr>
          <w:rFonts w:ascii="Times New Roman" w:cs="Times New Roman" w:eastAsia="Times New Roman" w:hAnsi="Times New Roman"/>
          <w:b w:val="false"/>
          <w:bCs w:val="false"/>
          <w:i w:val="false"/>
          <w:iCs w:val="false"/>
          <w:color w:val="000000"/>
          <w:sz w:val="22"/>
          <w:szCs w:val="22"/>
        </w:rPr>
        <w:t xml:space="preserve">Any change after freeze is entered in the amendment log with its date and reason before it is acted on.</w:t>
      </w:r>
    </w:p>
    <w:p>
      <w:pPr>
        <w:keepNext/>
        <w:pBdr>
          <w:bottom w:val="single" w:color="B79A96" w:sz="6" w:space="4"/>
        </w:pBdr>
        <w:spacing w:after="130" w:before="280"/>
      </w:pPr>
      <w:r>
        <w:rPr>
          <w:rFonts w:ascii="Times New Roman" w:cs="Times New Roman" w:eastAsia="Times New Roman" w:hAnsi="Times New Roman"/>
          <w:b/>
          <w:bCs/>
          <w:i w:val="false"/>
          <w:iCs w:val="false"/>
          <w:color w:val="7A2E2E"/>
          <w:sz w:val="26"/>
          <w:szCs w:val="26"/>
        </w:rPr>
        <w:t xml:space="preserve">Amendment log</w:t>
      </w:r>
    </w:p>
    <w:p>
      <w:pPr>
        <w:spacing w:after="120" w:line="276"/>
        <w:jc w:val="both"/>
      </w:pPr>
      <w:r>
        <w:rPr>
          <w:rFonts w:ascii="Times New Roman" w:cs="Times New Roman" w:eastAsia="Times New Roman" w:hAnsi="Times New Roman"/>
          <w:b w:val="false"/>
          <w:bCs w:val="false"/>
          <w:i w:val="false"/>
          <w:iCs w:val="false"/>
          <w:color w:val="000000"/>
          <w:sz w:val="22"/>
          <w:szCs w:val="22"/>
        </w:rPr>
        <w:t xml:space="preserve">No amendments. Registration DOI: pending.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C3C3C"/>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9A96" w:sz="4" w:space="3"/>
      </w:pBdr>
      <w:jc w:val="right"/>
    </w:pPr>
    <w:r>
      <w:rPr>
        <w:rFonts w:ascii="Times New Roman" w:cs="Times New Roman" w:eastAsia="Times New Roman" w:hAnsi="Times New Roman"/>
        <w:b w:val="false"/>
        <w:bCs w:val="false"/>
        <w:i/>
        <w:iCs/>
        <w:color w:val="3C3C3C"/>
        <w:sz w:val="17"/>
        <w:szCs w:val="17"/>
      </w:rPr>
      <w:t xml:space="preserve">Protocol v1.0  |  Ki-67 cut-off and luminal B prevalence: systematic review and meta-regression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Ki-67 cut-off and luminal B prevalence: systematic review protocol</dc:title>
  <dc:creator>Abdelmuhsen M. Abusneina</dc:creator>
  <cp:lastModifiedBy>Un-named</cp:lastModifiedBy>
  <cp:revision>1</cp:revision>
  <dcterms:created xsi:type="dcterms:W3CDTF">2026-10-13T17:22:09.919Z</dcterms:created>
  <dcterms:modified xsi:type="dcterms:W3CDTF">2026-10-13T17:22:09.919Z</dcterms:modified>
</cp:coreProperties>
</file>

<file path=docProps/custom.xml><?xml version="1.0" encoding="utf-8"?>
<Properties xmlns="http://schemas.openxmlformats.org/officeDocument/2006/custom-properties" xmlns:vt="http://schemas.openxmlformats.org/officeDocument/2006/docPropsVTypes"/>
</file>