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 w:val="0"/>
          <w:i w:val="0"/>
          <w:color w:val="3C4F66"/>
          <w:sz w:val="18"/>
        </w:rPr>
        <w:t>K. J. Somaiya School of Engineering, Mumbai · Somaiya Vidyavihar University</w:t>
      </w:r>
    </w:p>
    <w:p>
      <w:pPr>
        <w:spacing w:after="120" w:before="0"/>
        <w:jc w:val="center"/>
      </w:pPr>
      <w:r>
        <w:rPr>
          <w:b w:val="0"/>
          <w:i w:val="0"/>
          <w:color w:val="3C4F66"/>
          <w:sz w:val="18"/>
        </w:rPr>
        <w:t>Artificial Intelligence (216U41C501) · Lab CA Mini-Project · TY CCE (EXTC) · Sem V · 2025-26</w:t>
      </w:r>
    </w:p>
    <w:p>
      <w:pPr>
        <w:spacing w:after="80" w:before="0"/>
        <w:jc w:val="center"/>
      </w:pPr>
      <w:r>
        <w:rPr>
          <w:b/>
          <w:i w:val="0"/>
          <w:color w:val="0D253D"/>
          <w:sz w:val="34"/>
        </w:rPr>
        <w:t>ClauseGuard: Detecting Unfair Clauses in Terms &amp; Conditions with NLP</w:t>
      </w:r>
    </w:p>
    <w:p>
      <w:pPr>
        <w:spacing w:after="160" w:before="0"/>
        <w:jc w:val="center"/>
      </w:pPr>
      <w:r>
        <w:rPr>
          <w:b w:val="0"/>
          <w:i w:val="0"/>
          <w:color w:val="3C4F66"/>
          <w:sz w:val="20"/>
        </w:rPr>
        <w:t>Name: ____________________   Roll No.: ________   Division: ____   Faculty: Mr. Ankit Khivasara</w:t>
      </w:r>
    </w:p>
    <w:p>
      <w:pPr>
        <w:pStyle w:val="Heading2"/>
        <w:spacing w:before="160" w:after="60"/>
      </w:pPr>
      <w:r>
        <w:rPr>
          <w:color w:val="3A3FD1"/>
          <w:sz w:val="25"/>
        </w:rPr>
        <w:t>Abstract</w:t>
      </w:r>
    </w:p>
    <w:p>
      <w:pPr>
        <w:spacing w:after="80" w:before="0"/>
      </w:pPr>
      <w:r>
        <w:rPr>
          <w:b w:val="0"/>
          <w:i w:val="0"/>
          <w:color w:val="0D253D"/>
          <w:sz w:val="21"/>
        </w:rPr>
        <w:t>People routinely accept terms and conditions without reading them. ClauseGuard is an NLP system that reads a document and flags clauses that are potentially unfair to the user. We trained and compared three classifiers on the UNFAIR-ToS dataset (9,414 sentences from 50 online terms of service, 8 unfair-clause types): TF-IDF with Logistic Regression, TF-IDF with a Linear SVM, and a fine-tuned DistilBERT transformer. On the held-out test set the best model (TF-IDF + Logistic Regression) reached a macro F1 of 0.775 and an F1 of 0.802 for separating fair from unfair clauses. The model is deployed in a web app that accepts PDFs, scanned documents, Word files, photos, camera shots, links and pasted text, highlights risky clauses with plain-English explanations and computes a 0–100 risk score.</w:t>
      </w:r>
    </w:p>
    <w:p>
      <w:pPr>
        <w:pStyle w:val="Heading2"/>
        <w:spacing w:before="160" w:after="60"/>
      </w:pPr>
      <w:r>
        <w:rPr>
          <w:color w:val="3A3FD1"/>
          <w:sz w:val="25"/>
        </w:rPr>
        <w:t>1. Problem statement</w:t>
      </w:r>
    </w:p>
    <w:p>
      <w:pPr>
        <w:spacing w:after="80" w:before="0"/>
      </w:pPr>
      <w:r>
        <w:rPr>
          <w:b w:val="0"/>
          <w:i w:val="0"/>
          <w:color w:val="0D253D"/>
          <w:sz w:val="21"/>
        </w:rPr>
        <w:t>Terms of service, rental agreements and offer letters are long and written in legal language, so most people agree without reading them. A Deloitte survey of 2,000 US consumers found that 91% accept legal terms without reading them (97% of 18–34 year olds) [4]. In a study by Obar and Oeldorf-Hirsch, 98% of students missed a clause that gave away their first-born child [5], and reading every privacy policy a person meets in a year would take about 76 working days [6]. Users therefore unknowingly accept arbitration instead of courts, one-sided termination and changes, liability waivers, auto-renewals and penalties. The goal is a tool that automatically points out such clauses and quantifies the overall risk before the user agrees.</w:t>
      </w:r>
    </w:p>
    <w:p>
      <w:pPr>
        <w:pStyle w:val="Heading2"/>
        <w:spacing w:before="160" w:after="60"/>
      </w:pPr>
      <w:r>
        <w:rPr>
          <w:color w:val="3A3FD1"/>
          <w:sz w:val="25"/>
        </w:rPr>
        <w:t>2. Dataset</w:t>
      </w:r>
    </w:p>
    <w:p>
      <w:pPr>
        <w:spacing w:after="80" w:before="0"/>
      </w:pPr>
      <w:r>
        <w:rPr>
          <w:b w:val="0"/>
          <w:i w:val="0"/>
          <w:color w:val="0D253D"/>
          <w:sz w:val="21"/>
        </w:rPr>
        <w:t>We used UNFAIR-ToS from the LexGLUE benchmark [2], built on the CLAUDETTE corpus [1]. It contains 9,414 sentences from 50 terms of service (e.g. of large online platforms), labelled by legal experts with zero or more of 8 unfair types: limitation of liability, unilateral termination, unilateral change, content removal, contract by using, choice of law, jurisdiction and arbitration. We kept the official splits: 5,532 training, 2,275 validation and 1,607 test sentences. Only 11.4% of training sentences are unfair, so the data is strongly imbalanced; 63 sentences carry two labels. We framed the task as 9-class classification (Fair + 8 types); multi-label training sentences were duplicated once per label.</w:t>
      </w:r>
    </w:p>
    <w:p>
      <w:pPr>
        <w:pStyle w:val="Heading2"/>
        <w:spacing w:before="160" w:after="60"/>
      </w:pPr>
      <w:r>
        <w:rPr>
          <w:color w:val="3A3FD1"/>
          <w:sz w:val="25"/>
        </w:rPr>
        <w:t>3. Methodology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8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/>
          <w:color w:val="3C4F66"/>
          <w:sz w:val="17"/>
        </w:rPr>
        <w:t>Figure 1. ClauseGuard pipeline.</w:t>
      </w:r>
    </w:p>
    <w:p>
      <w:pPr>
        <w:pStyle w:val="ListBullet"/>
        <w:spacing w:after="30"/>
      </w:pPr>
      <w:r>
        <w:rPr>
          <w:b/>
          <w:color w:val="0D253D"/>
          <w:sz w:val="21"/>
        </w:rPr>
        <w:t xml:space="preserve">Text extraction: </w:t>
      </w:r>
      <w:r>
        <w:rPr>
          <w:b w:val="0"/>
          <w:color w:val="0D253D"/>
          <w:sz w:val="21"/>
        </w:rPr>
        <w:t>PyMuPDF for PDFs; pages with no text layer are rendered and read with RapidOCR (also used for photos and the camera, with up-scaling and a word-segmentation fix for merged words); python-docx for Word files; trafilatura for web pages.</w:t>
      </w:r>
    </w:p>
    <w:p>
      <w:pPr>
        <w:pStyle w:val="ListBullet"/>
        <w:spacing w:after="30"/>
      </w:pPr>
      <w:r>
        <w:rPr>
          <w:b/>
          <w:color w:val="0D253D"/>
          <w:sz w:val="21"/>
        </w:rPr>
        <w:t xml:space="preserve">Clause splitting: </w:t>
      </w:r>
      <w:r>
        <w:rPr>
          <w:b w:val="0"/>
          <w:color w:val="0D253D"/>
          <w:sz w:val="21"/>
        </w:rPr>
        <w:t>a rule-based splitter on sentence ends and numbered items that drops headings.</w:t>
      </w:r>
    </w:p>
    <w:p>
      <w:pPr>
        <w:pStyle w:val="ListBullet"/>
        <w:spacing w:after="30"/>
      </w:pPr>
      <w:r>
        <w:rPr>
          <w:b/>
          <w:color w:val="0D253D"/>
          <w:sz w:val="21"/>
        </w:rPr>
        <w:t xml:space="preserve">Classical models: </w:t>
      </w:r>
      <w:r>
        <w:rPr>
          <w:b w:val="0"/>
          <w:color w:val="0D253D"/>
          <w:sz w:val="21"/>
        </w:rPr>
        <w:t>TF-IDF features (word 1–2-grams + character 3–5-grams, sub-linear TF) with Logistic Regression and with a Linear SVM (probabilities via Platt-style calibration). Both use class_weight = balanced to counter the imbalance.</w:t>
      </w:r>
    </w:p>
    <w:p>
      <w:pPr>
        <w:pStyle w:val="ListBullet"/>
        <w:spacing w:after="30"/>
      </w:pPr>
      <w:r>
        <w:rPr>
          <w:b/>
          <w:color w:val="0D253D"/>
          <w:sz w:val="21"/>
        </w:rPr>
        <w:t xml:space="preserve">Rule checks: </w:t>
      </w:r>
      <w:r>
        <w:rPr>
          <w:b w:val="0"/>
          <w:color w:val="0D253D"/>
          <w:sz w:val="21"/>
        </w:rPr>
        <w:t>5 transparent keyword rules for patterns outside the dataset that students often meet (auto-renewal, hidden fees, data sharing, bond / lock-in, deposit forfeiture), always labelled separately from model predictions.</w:t>
      </w:r>
    </w:p>
    <w:p>
      <w:pPr>
        <w:pStyle w:val="ListBullet"/>
        <w:spacing w:after="30"/>
      </w:pPr>
      <w:r>
        <w:rPr>
          <w:b/>
          <w:color w:val="0D253D"/>
          <w:sz w:val="21"/>
        </w:rPr>
        <w:t xml:space="preserve">Risk score: </w:t>
      </w:r>
      <w:r>
        <w:rPr>
          <w:b w:val="0"/>
          <w:color w:val="0D253D"/>
          <w:sz w:val="21"/>
        </w:rPr>
        <w:t>each finding contributes risk = severity of its type × model confidence; score = 100 × (1 − e^(−Σ risk / 2.5)), giving Low (0–29), Medium (30–60) or High (61–100).</w:t>
      </w:r>
    </w:p>
    <w:p>
      <w:pPr>
        <w:pStyle w:val="Heading2"/>
        <w:spacing w:before="160" w:after="60"/>
      </w:pPr>
      <w:r>
        <w:rPr>
          <w:color w:val="3A3FD1"/>
          <w:sz w:val="25"/>
        </w:rPr>
        <w:t>4. Results</w:t>
      </w:r>
    </w:p>
    <w:p>
      <w:pPr>
        <w:spacing w:after="60" w:before="0"/>
      </w:pPr>
      <w:r>
        <w:rPr>
          <w:b w:val="0"/>
          <w:i w:val="0"/>
          <w:color w:val="0D253D"/>
          <w:sz w:val="21"/>
        </w:rPr>
        <w:t>All metrics are on the official test split, which was not used for training or model selection.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3CBD6"/>
          <w:left w:val="nil"/>
          <w:bottom w:val="single" w:sz="4" w:color="C3CBD6"/>
          <w:right w:val="nil"/>
          <w:insideH w:val="single" w:sz="4" w:color="C3CBD6"/>
          <w:insideV w:val="nil"/>
        </w:tblBorders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2608"/>
            <w:shd w:val="clear" w:color="auto" w:fill="EEF0FF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907"/>
            <w:shd w:val="clear" w:color="auto" w:fill="EEF0FF"/>
          </w:tcPr>
          <w:p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850"/>
            <w:shd w:val="clear" w:color="auto" w:fill="EEF0FF"/>
          </w:tcPr>
          <w:p>
            <w:r>
              <w:rPr>
                <w:b/>
                <w:sz w:val="17"/>
              </w:rPr>
              <w:t>Macro P</w:t>
            </w:r>
          </w:p>
        </w:tc>
        <w:tc>
          <w:tcPr>
            <w:tcW w:type="dxa" w:w="850"/>
            <w:shd w:val="clear" w:color="auto" w:fill="EEF0FF"/>
          </w:tcPr>
          <w:p>
            <w:r>
              <w:rPr>
                <w:b/>
                <w:sz w:val="17"/>
              </w:rPr>
              <w:t>Macro R</w:t>
            </w:r>
          </w:p>
        </w:tc>
        <w:tc>
          <w:tcPr>
            <w:tcW w:type="dxa" w:w="907"/>
            <w:shd w:val="clear" w:color="auto" w:fill="EEF0FF"/>
          </w:tcPr>
          <w:p>
            <w:r>
              <w:rPr>
                <w:b/>
                <w:sz w:val="17"/>
              </w:rPr>
              <w:t>Macro F1</w:t>
            </w:r>
          </w:p>
        </w:tc>
        <w:tc>
          <w:tcPr>
            <w:tcW w:type="dxa" w:w="1247"/>
            <w:shd w:val="clear" w:color="auto" w:fill="EEF0FF"/>
          </w:tcPr>
          <w:p>
            <w:r>
              <w:rPr>
                <w:b/>
                <w:sz w:val="17"/>
              </w:rPr>
              <w:t>Unfair-only macro F1</w:t>
            </w:r>
          </w:p>
        </w:tc>
        <w:tc>
          <w:tcPr>
            <w:tcW w:type="dxa" w:w="1191"/>
            <w:shd w:val="clear" w:color="auto" w:fill="EEF0FF"/>
          </w:tcPr>
          <w:p>
            <w:r>
              <w:rPr>
                <w:b/>
                <w:sz w:val="17"/>
              </w:rPr>
              <w:t>Fair vs unfair F1</w:t>
            </w:r>
          </w:p>
        </w:tc>
        <w:tc>
          <w:tcPr>
            <w:tcW w:type="dxa" w:w="964"/>
            <w:shd w:val="clear" w:color="auto" w:fill="EEF0FF"/>
          </w:tcPr>
          <w:p>
            <w:r>
              <w:rPr>
                <w:b/>
                <w:sz w:val="17"/>
              </w:rPr>
              <w:t>Train time</w:t>
            </w:r>
          </w:p>
        </w:tc>
      </w:tr>
      <w:tr>
        <w:tc>
          <w:tcPr>
            <w:tcW w:type="dxa" w:w="2608"/>
          </w:tcPr>
          <w:p>
            <w:r>
              <w:rPr>
                <w:b/>
                <w:sz w:val="17"/>
              </w:rPr>
              <w:t>TF-IDF + Logistic Regression (best)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b/>
                <w:sz w:val="17"/>
              </w:rPr>
              <w:t>0.946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7"/>
              </w:rPr>
              <w:t>0.736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7"/>
              </w:rPr>
              <w:t>0.845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b/>
                <w:sz w:val="17"/>
              </w:rPr>
              <w:t>0.775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7"/>
              </w:rPr>
              <w:t>0.750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/>
                <w:sz w:val="17"/>
              </w:rPr>
              <w:t>0.802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b/>
                <w:sz w:val="17"/>
              </w:rPr>
              <w:t>6 s</w:t>
            </w:r>
          </w:p>
        </w:tc>
      </w:tr>
      <w:tr>
        <w:tc>
          <w:tcPr>
            <w:tcW w:type="dxa" w:w="2608"/>
          </w:tcPr>
          <w:p>
            <w:r>
              <w:rPr>
                <w:b w:val="0"/>
                <w:sz w:val="17"/>
              </w:rPr>
              <w:t>TF-IDF + Linear SVM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b w:val="0"/>
                <w:sz w:val="17"/>
              </w:rPr>
              <w:t>0.955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7"/>
              </w:rPr>
              <w:t>0.874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7"/>
              </w:rPr>
              <w:t>0.714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b w:val="0"/>
                <w:sz w:val="17"/>
              </w:rPr>
              <w:t>0.779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7"/>
              </w:rPr>
              <w:t>0.754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  <w:sz w:val="17"/>
              </w:rPr>
              <w:t>0.800</w:t>
            </w:r>
          </w:p>
        </w:tc>
        <w:tc>
          <w:tcPr>
            <w:tcW w:type="dxa" w:w="964"/>
          </w:tcPr>
          <w:p>
            <w:pPr>
              <w:jc w:val="right"/>
            </w:pPr>
            <w:r>
              <w:rPr>
                <w:b w:val="0"/>
                <w:sz w:val="17"/>
              </w:rPr>
              <w:t>2 s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b w:val="0"/>
          <w:i w:val="0"/>
          <w:color w:val="0D253D"/>
          <w:sz w:val="21"/>
        </w:rPr>
        <w:t>Accuracy is high for every model because about 89% of test sentences are fair, so macro F1 (all 9 classes weighted equally) is the main metric. TF-IDF + Logistic Regression was selected for the app because it has the best validation macro F1 (0.718). On the test set TF-IDF + Linear SVM scores slightly higher (0.779 vs 0.775), so the two are close. Per class, it is strongest on Choice of law (F1 0.92) and weakest on Arbitration (F1 0.64, 7 test sentences). For TF-IDF + Logistic Regression, 49 fair sentences were flagged as unfair (false alarms) and 24 unfair sentences were missed. The most common mix-up between unfair types was Unilateral change predicted as Unilateral termination (5 sentences).</w:t>
      </w:r>
    </w:p>
    <w:p>
      <w:pPr>
        <w:pStyle w:val="Heading2"/>
        <w:spacing w:before="160" w:after="60"/>
      </w:pPr>
      <w:r>
        <w:rPr>
          <w:color w:val="3A3FD1"/>
          <w:sz w:val="25"/>
        </w:rPr>
        <w:t>5. Application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4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/>
          <w:color w:val="3C4F66"/>
          <w:sz w:val="17"/>
        </w:rPr>
        <w:t>Figure 4. ClauseGuard web app: risk score, category summary and the document with risky clauses highlighted.</w:t>
      </w:r>
    </w:p>
    <w:p>
      <w:pPr>
        <w:spacing w:after="80" w:before="0"/>
      </w:pPr>
      <w:r>
        <w:rPr>
          <w:b w:val="0"/>
          <w:i w:val="0"/>
          <w:color w:val="0D253D"/>
          <w:sz w:val="21"/>
        </w:rPr>
        <w:t>The Streamlit app offers tabs for PDF, Word, multiple images, camera, link and pasted text, three built-in sample documents (app terms, a rental agreement and an internship offer letter), a downloadable HTML report and a model-performance page. It runs on a laptop and on phones over the same Wi-Fi. All seven input types were tested end-to-end with automated browser tests, alongside a pytest suite for extraction, clause splitting, rules and scoring.</w:t>
      </w:r>
    </w:p>
    <w:p>
      <w:pPr>
        <w:pStyle w:val="Heading2"/>
        <w:spacing w:before="160" w:after="60"/>
      </w:pPr>
      <w:r>
        <w:rPr>
          <w:color w:val="3A3FD1"/>
          <w:sz w:val="25"/>
        </w:rPr>
        <w:t>6. Conclusion and future scope</w:t>
      </w:r>
    </w:p>
    <w:p>
      <w:pPr>
        <w:spacing w:after="80" w:before="0"/>
      </w:pPr>
      <w:r>
        <w:rPr>
          <w:b w:val="0"/>
          <w:i w:val="0"/>
          <w:color w:val="0D253D"/>
          <w:sz w:val="21"/>
        </w:rPr>
        <w:t>ClauseGuard shows that a model trained on a modest labelled dataset can reliably flag unfair clauses and make long legal documents understandable in seconds. Its main limitation is domain: it learned from English online terms of service, so it is less accurate on Indian rental agreements and offer letters, where the rule checks help. Future work: collect and label Indian contracts (rent, employment, loan apps), support Hindi and Marathi, fine-tune a legal-domain model such as LegalBERT, suggest fairer rewordings of risky clauses, and ship a browser extension that scans terms before the user clicks "I agree". ClauseGuard is not legal advice.</w:t>
      </w:r>
    </w:p>
    <w:p>
      <w:pPr>
        <w:pStyle w:val="Heading2"/>
        <w:spacing w:before="160" w:after="60"/>
      </w:pPr>
      <w:r>
        <w:rPr>
          <w:color w:val="3A3FD1"/>
          <w:sz w:val="25"/>
        </w:rPr>
        <w:t>References</w:t>
      </w:r>
    </w:p>
    <w:p>
      <w:pPr>
        <w:spacing w:after="20" w:before="0"/>
      </w:pPr>
      <w:r>
        <w:rPr>
          <w:b w:val="0"/>
          <w:i w:val="0"/>
          <w:color w:val="3C4F66"/>
          <w:sz w:val="17"/>
        </w:rPr>
        <w:t>[1] M. Lippi et al., "CLAUDETTE: an automated detector of potentially unfair clauses in online terms of service," Artificial Intelligence and Law, vol. 27, pp. 117–139, 2019.</w:t>
      </w:r>
    </w:p>
    <w:p>
      <w:pPr>
        <w:spacing w:after="20" w:before="0"/>
      </w:pPr>
      <w:r>
        <w:rPr>
          <w:b w:val="0"/>
          <w:i w:val="0"/>
          <w:color w:val="3C4F66"/>
          <w:sz w:val="17"/>
        </w:rPr>
        <w:t>[2] I. Chalkidis et al., "LexGLUE: A Benchmark Dataset for Legal Language Understanding in English," in Proc. ACL, 2022.</w:t>
      </w:r>
    </w:p>
    <w:p>
      <w:pPr>
        <w:spacing w:after="20" w:before="0"/>
      </w:pPr>
      <w:r>
        <w:rPr>
          <w:b w:val="0"/>
          <w:i w:val="0"/>
          <w:color w:val="3C4F66"/>
          <w:sz w:val="17"/>
        </w:rPr>
        <w:t>[3] V. Sanh, L. Debut, J. Chaumond and T. Wolf, "DistilBERT, a distilled version of BERT: smaller, faster, cheaper and lighter," arXiv:1910.01108, 2019.</w:t>
      </w:r>
    </w:p>
    <w:p>
      <w:pPr>
        <w:spacing w:after="20" w:before="0"/>
      </w:pPr>
      <w:r>
        <w:rPr>
          <w:b w:val="0"/>
          <w:i w:val="0"/>
          <w:color w:val="3C4F66"/>
          <w:sz w:val="17"/>
        </w:rPr>
        <w:t>[4] Deloitte, 2017 Global Mobile Consumer Survey (US edition), as reported by Business Insider, Nov. 2017.</w:t>
      </w:r>
    </w:p>
    <w:p>
      <w:pPr>
        <w:spacing w:after="20" w:before="0"/>
      </w:pPr>
      <w:r>
        <w:rPr>
          <w:b w:val="0"/>
          <w:i w:val="0"/>
          <w:color w:val="3C4F66"/>
          <w:sz w:val="17"/>
        </w:rPr>
        <w:t>[5] J. A. Obar and A. Oeldorf-Hirsch, "The biggest lie on the Internet: ignoring the privacy policies and terms of service policies of social networking services," Information, Communication &amp; Society, 23(1), 2020.</w:t>
      </w:r>
    </w:p>
    <w:p>
      <w:pPr>
        <w:spacing w:after="20" w:before="0"/>
      </w:pPr>
      <w:r>
        <w:rPr>
          <w:b w:val="0"/>
          <w:i w:val="0"/>
          <w:color w:val="3C4F66"/>
          <w:sz w:val="17"/>
        </w:rPr>
        <w:t>[6] A. M. McDonald and L. F. Cranor, "The Cost of Reading Privacy Policies," I/S: A Journal of Law and Policy for the Information Society, 4(3), 2008.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