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75B6"/>
          <w:sz w:val="20"/>
          <w:szCs w:val="20"/>
        </w:rPr>
        <w:t xml:space="preserve">CYBERSECURITY &amp; ETHICAL HACKING INTERNSHIP</w:t>
      </w:r>
    </w:p>
    <w:p>
      <w:pPr>
        <w:spacing w:after="200"/>
        <w:jc w:val="center"/>
      </w:pPr>
      <w:r>
        <w:rPr>
          <w:color w:val="808080"/>
          <w:sz w:val="20"/>
          <w:szCs w:val="20"/>
        </w:rPr>
        <w:t xml:space="preserve">NETWORKWALKS ACADEMY</w:t>
      </w:r>
    </w:p>
    <w:p>
      <w:pPr>
        <w:spacing w:after="80"/>
        <w:jc w:val="center"/>
      </w:pPr>
      <w:r>
        <w:rPr>
          <w:b/>
          <w:bCs/>
          <w:color w:val="1F3864"/>
          <w:sz w:val="46"/>
          <w:szCs w:val="46"/>
        </w:rPr>
        <w:t xml:space="preserve">PENETRATION TESTING REPORT</w:t>
      </w:r>
    </w:p>
    <w:p>
      <w:pPr>
        <w:spacing w:after="40"/>
        <w:jc w:val="center"/>
      </w:pPr>
      <w:r>
        <w:rPr>
          <w:b/>
          <w:bCs/>
          <w:color w:val="2E75B6"/>
          <w:sz w:val="28"/>
          <w:szCs w:val="28"/>
        </w:rPr>
        <w:t xml:space="preserve">Week 2 – Footprinting, Reconnaissance &amp; Network Scanning</w:t>
      </w:r>
    </w:p>
    <w:p>
      <w:pPr>
        <w:spacing w:after="400"/>
        <w:jc w:val="center"/>
      </w:pPr>
      <w:r>
        <w:rPr>
          <w:i/>
          <w:iCs/>
          <w:color w:val="595959"/>
          <w:sz w:val="22"/>
          <w:szCs w:val="22"/>
        </w:rPr>
        <w:t xml:space="preserve">Project Modules W2-PM1 to W2-PM5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088"/>
      </w:tblGrid>
      <w:tr>
        <w:tc>
          <w:tcPr>
            <w:tcW w:type="dxa" w:w="3200"/>
            <w:shd w:fill="F2F2F2" w:val="clear"/>
            <w:tcMar>
              <w:top w:type="dxa" w:w="100"/>
              <w:left w:type="dxa" w:w="120"/>
              <w:bottom w:type="dxa" w:w="100"/>
              <w:right w:type="dxa" w:w="120"/>
            </w:tcMar>
            <w:vAlign w:val="center"/>
          </w:tcPr>
          <w:p>
            <w:r>
              <w:rPr>
                <w:b/>
                <w:bCs/>
                <w:sz w:val="20"/>
                <w:szCs w:val="20"/>
              </w:rPr>
              <w:t xml:space="preserve">Pentester / Intern Name</w:t>
            </w:r>
          </w:p>
        </w:tc>
        <w:tc>
          <w:tcPr>
            <w:tcW w:type="dxa" w:w="6088"/>
            <w:tcMar>
              <w:top w:type="dxa" w:w="100"/>
              <w:left w:type="dxa" w:w="120"/>
              <w:bottom w:type="dxa" w:w="100"/>
              <w:right w:type="dxa" w:w="120"/>
            </w:tcMar>
            <w:vAlign w:val="center"/>
          </w:tcPr>
          <w:p>
            <w:r>
              <w:rPr>
                <w:sz w:val="20"/>
                <w:szCs w:val="20"/>
              </w:rPr>
              <w:t xml:space="preserve">Abubakar Issa Sabalah</w:t>
            </w:r>
          </w:p>
        </w:tc>
      </w:tr>
      <w:tr>
        <w:tc>
          <w:tcPr>
            <w:tcW w:type="dxa" w:w="3200"/>
            <w:shd w:fill="F2F2F2" w:val="clear"/>
            <w:tcMar>
              <w:top w:type="dxa" w:w="100"/>
              <w:left w:type="dxa" w:w="120"/>
              <w:bottom w:type="dxa" w:w="100"/>
              <w:right w:type="dxa" w:w="120"/>
            </w:tcMar>
            <w:vAlign w:val="center"/>
          </w:tcPr>
          <w:p>
            <w:r>
              <w:rPr>
                <w:b/>
                <w:bCs/>
                <w:sz w:val="20"/>
                <w:szCs w:val="20"/>
              </w:rPr>
              <w:t xml:space="preserve">Program / Batch</w:t>
            </w:r>
          </w:p>
        </w:tc>
        <w:tc>
          <w:tcPr>
            <w:tcW w:type="dxa" w:w="6088"/>
            <w:tcMar>
              <w:top w:type="dxa" w:w="100"/>
              <w:left w:type="dxa" w:w="120"/>
              <w:bottom w:type="dxa" w:w="100"/>
              <w:right w:type="dxa" w:w="120"/>
            </w:tcMar>
            <w:vAlign w:val="center"/>
          </w:tcPr>
          <w:p>
            <w:r>
              <w:rPr>
                <w:sz w:val="20"/>
                <w:szCs w:val="20"/>
              </w:rPr>
              <w:t xml:space="preserve">B082 – Networkwalks Cybersecurity &amp; Ethical Hacking Internship</w:t>
            </w:r>
          </w:p>
        </w:tc>
      </w:tr>
      <w:tr>
        <w:tc>
          <w:tcPr>
            <w:tcW w:type="dxa" w:w="3200"/>
            <w:shd w:fill="F2F2F2" w:val="clear"/>
            <w:tcMar>
              <w:top w:type="dxa" w:w="100"/>
              <w:left w:type="dxa" w:w="120"/>
              <w:bottom w:type="dxa" w:w="100"/>
              <w:right w:type="dxa" w:w="120"/>
            </w:tcMar>
            <w:vAlign w:val="center"/>
          </w:tcPr>
          <w:p>
            <w:r>
              <w:rPr>
                <w:b/>
                <w:bCs/>
                <w:sz w:val="20"/>
                <w:szCs w:val="20"/>
              </w:rPr>
              <w:t xml:space="preserve">Report Reference</w:t>
            </w:r>
          </w:p>
        </w:tc>
        <w:tc>
          <w:tcPr>
            <w:tcW w:type="dxa" w:w="6088"/>
            <w:tcMar>
              <w:top w:type="dxa" w:w="100"/>
              <w:left w:type="dxa" w:w="120"/>
              <w:bottom w:type="dxa" w:w="100"/>
              <w:right w:type="dxa" w:w="120"/>
            </w:tcMar>
            <w:vAlign w:val="center"/>
          </w:tcPr>
          <w:p>
            <w:r>
              <w:rPr>
                <w:sz w:val="20"/>
                <w:szCs w:val="20"/>
              </w:rPr>
              <w:t xml:space="preserve">B082-INT-WK2-FINAL</w:t>
            </w:r>
          </w:p>
        </w:tc>
      </w:tr>
      <w:tr>
        <w:tc>
          <w:tcPr>
            <w:tcW w:type="dxa" w:w="3200"/>
            <w:shd w:fill="F2F2F2" w:val="clear"/>
            <w:tcMar>
              <w:top w:type="dxa" w:w="100"/>
              <w:left w:type="dxa" w:w="120"/>
              <w:bottom w:type="dxa" w:w="100"/>
              <w:right w:type="dxa" w:w="120"/>
            </w:tcMar>
            <w:vAlign w:val="center"/>
          </w:tcPr>
          <w:p>
            <w:r>
              <w:rPr>
                <w:b/>
                <w:bCs/>
                <w:sz w:val="20"/>
                <w:szCs w:val="20"/>
              </w:rPr>
              <w:t xml:space="preserve">Date of Report</w:t>
            </w:r>
          </w:p>
        </w:tc>
        <w:tc>
          <w:tcPr>
            <w:tcW w:type="dxa" w:w="6088"/>
            <w:tcMar>
              <w:top w:type="dxa" w:w="100"/>
              <w:left w:type="dxa" w:w="120"/>
              <w:bottom w:type="dxa" w:w="100"/>
              <w:right w:type="dxa" w:w="120"/>
            </w:tcMar>
            <w:vAlign w:val="center"/>
          </w:tcPr>
          <w:p>
            <w:r>
              <w:rPr>
                <w:sz w:val="20"/>
                <w:szCs w:val="20"/>
              </w:rPr>
              <w:t xml:space="preserve">19 August 2026</w:t>
            </w:r>
          </w:p>
        </w:tc>
      </w:tr>
      <w:tr>
        <w:tc>
          <w:tcPr>
            <w:tcW w:type="dxa" w:w="3200"/>
            <w:shd w:fill="F2F2F2" w:val="clear"/>
            <w:tcMar>
              <w:top w:type="dxa" w:w="100"/>
              <w:left w:type="dxa" w:w="120"/>
              <w:bottom w:type="dxa" w:w="100"/>
              <w:right w:type="dxa" w:w="120"/>
            </w:tcMar>
            <w:vAlign w:val="center"/>
          </w:tcPr>
          <w:p>
            <w:r>
              <w:rPr>
                <w:b/>
                <w:bCs/>
                <w:sz w:val="20"/>
                <w:szCs w:val="20"/>
              </w:rPr>
              <w:t xml:space="preserve">Modules Completed</w:t>
            </w:r>
          </w:p>
        </w:tc>
        <w:tc>
          <w:tcPr>
            <w:tcW w:type="dxa" w:w="6088"/>
            <w:tcMar>
              <w:top w:type="dxa" w:w="100"/>
              <w:left w:type="dxa" w:w="120"/>
              <w:bottom w:type="dxa" w:w="100"/>
              <w:right w:type="dxa" w:w="120"/>
            </w:tcMar>
            <w:vAlign w:val="center"/>
          </w:tcPr>
          <w:p>
            <w:r>
              <w:rPr>
                <w:sz w:val="20"/>
                <w:szCs w:val="20"/>
              </w:rPr>
              <w:t xml:space="preserve">W2-PM1 · W2-PM2 · W2-PM3 · W2-PM4 · W2-PM5</w:t>
            </w:r>
          </w:p>
        </w:tc>
      </w:tr>
      <w:tr>
        <w:tc>
          <w:tcPr>
            <w:tcW w:type="dxa" w:w="3200"/>
            <w:shd w:fill="F2F2F2" w:val="clear"/>
            <w:tcMar>
              <w:top w:type="dxa" w:w="100"/>
              <w:left w:type="dxa" w:w="120"/>
              <w:bottom w:type="dxa" w:w="100"/>
              <w:right w:type="dxa" w:w="120"/>
            </w:tcMar>
            <w:vAlign w:val="center"/>
          </w:tcPr>
          <w:p>
            <w:r>
              <w:rPr>
                <w:b/>
                <w:bCs/>
                <w:sz w:val="20"/>
                <w:szCs w:val="20"/>
              </w:rPr>
              <w:t xml:space="preserve">Client / Target(s)</w:t>
            </w:r>
          </w:p>
        </w:tc>
        <w:tc>
          <w:tcPr>
            <w:tcW w:type="dxa" w:w="6088"/>
            <w:tcMar>
              <w:top w:type="dxa" w:w="100"/>
              <w:left w:type="dxa" w:w="120"/>
              <w:bottom w:type="dxa" w:w="100"/>
              <w:right w:type="dxa" w:w="120"/>
            </w:tcMar>
            <w:vAlign w:val="center"/>
          </w:tcPr>
          <w:p>
            <w:r>
              <w:rPr>
                <w:sz w:val="20"/>
                <w:szCs w:val="20"/>
              </w:rPr>
              <w:t xml:space="preserve">1. networkwalks.com (written authorization on file)</w:t>
            </w:r>
          </w:p>
          <w:p>
            <w:r>
              <w:rPr>
                <w:sz w:val="20"/>
                <w:szCs w:val="20"/>
              </w:rPr>
              <w:t xml:space="preserve">2. Own local LAN / Wi-Fi network</w:t>
            </w:r>
          </w:p>
          <w:p>
            <w:r>
              <w:rPr>
                <w:sz w:val="20"/>
                <w:szCs w:val="20"/>
              </w:rPr>
              <w:t xml:space="preserve">3. microsoft.com – passive, public-source OSINT only (theHarvester)</w:t>
            </w:r>
          </w:p>
        </w:tc>
      </w:tr>
      <w:tr>
        <w:tc>
          <w:tcPr>
            <w:tcW w:type="dxa" w:w="3200"/>
            <w:shd w:fill="F2F2F2" w:val="clear"/>
            <w:tcMar>
              <w:top w:type="dxa" w:w="100"/>
              <w:left w:type="dxa" w:w="120"/>
              <w:bottom w:type="dxa" w:w="100"/>
              <w:right w:type="dxa" w:w="120"/>
            </w:tcMar>
            <w:vAlign w:val="center"/>
          </w:tcPr>
          <w:p>
            <w:r>
              <w:rPr>
                <w:b/>
                <w:bCs/>
                <w:sz w:val="20"/>
                <w:szCs w:val="20"/>
              </w:rPr>
              <w:t xml:space="preserve">Permission Secured From Client?</w:t>
            </w:r>
          </w:p>
        </w:tc>
        <w:tc>
          <w:tcPr>
            <w:tcW w:type="dxa" w:w="6088"/>
            <w:tcMar>
              <w:top w:type="dxa" w:w="100"/>
              <w:left w:type="dxa" w:w="120"/>
              <w:bottom w:type="dxa" w:w="100"/>
              <w:right w:type="dxa" w:w="120"/>
            </w:tcMar>
            <w:vAlign w:val="center"/>
          </w:tcPr>
          <w:p>
            <w:r>
              <w:rPr>
                <w:sz w:val="20"/>
                <w:szCs w:val="20"/>
              </w:rPr>
              <w:t xml:space="preserve">Yes – Letter of Authorization Ref. NW-LOA-B082-017</w:t>
            </w:r>
          </w:p>
        </w:tc>
      </w:tr>
      <w:tr>
        <w:tc>
          <w:tcPr>
            <w:tcW w:type="dxa" w:w="3200"/>
            <w:shd w:fill="F2F2F2" w:val="clear"/>
            <w:tcMar>
              <w:top w:type="dxa" w:w="100"/>
              <w:left w:type="dxa" w:w="120"/>
              <w:bottom w:type="dxa" w:w="100"/>
              <w:right w:type="dxa" w:w="120"/>
            </w:tcMar>
            <w:vAlign w:val="center"/>
          </w:tcPr>
          <w:p>
            <w:r>
              <w:rPr>
                <w:b/>
                <w:bCs/>
                <w:sz w:val="20"/>
                <w:szCs w:val="20"/>
              </w:rPr>
              <w:t xml:space="preserve">Phases Covered</w:t>
            </w:r>
          </w:p>
        </w:tc>
        <w:tc>
          <w:tcPr>
            <w:tcW w:type="dxa" w:w="6088"/>
            <w:tcMar>
              <w:top w:type="dxa" w:w="100"/>
              <w:left w:type="dxa" w:w="120"/>
              <w:bottom w:type="dxa" w:w="100"/>
              <w:right w:type="dxa" w:w="120"/>
            </w:tcMar>
            <w:vAlign w:val="center"/>
          </w:tcPr>
          <w:p>
            <w:r>
              <w:rPr>
                <w:sz w:val="20"/>
                <w:szCs w:val="20"/>
              </w:rPr>
              <w:t xml:space="preserve">Phase 1: Reconnaissance &amp; Footprinting</w:t>
            </w:r>
          </w:p>
          <w:p>
            <w:r>
              <w:rPr>
                <w:sz w:val="20"/>
                <w:szCs w:val="20"/>
              </w:rPr>
              <w:t xml:space="preserve">Phase 2: Scanning &amp; Network Discovery</w:t>
            </w:r>
          </w:p>
        </w:tc>
      </w:tr>
      <w:tr>
        <w:tc>
          <w:tcPr>
            <w:tcW w:type="dxa" w:w="3200"/>
            <w:shd w:fill="F2F2F2" w:val="clear"/>
            <w:tcMar>
              <w:top w:type="dxa" w:w="100"/>
              <w:left w:type="dxa" w:w="120"/>
              <w:bottom w:type="dxa" w:w="100"/>
              <w:right w:type="dxa" w:w="120"/>
            </w:tcMar>
            <w:vAlign w:val="center"/>
          </w:tcPr>
          <w:p>
            <w:r>
              <w:rPr>
                <w:b/>
                <w:bCs/>
                <w:sz w:val="20"/>
                <w:szCs w:val="20"/>
              </w:rPr>
              <w:t xml:space="preserve">Classification</w:t>
            </w:r>
          </w:p>
        </w:tc>
        <w:tc>
          <w:tcPr>
            <w:tcW w:type="dxa" w:w="6088"/>
            <w:tcMar>
              <w:top w:type="dxa" w:w="100"/>
              <w:left w:type="dxa" w:w="120"/>
              <w:bottom w:type="dxa" w:w="100"/>
              <w:right w:type="dxa" w:w="120"/>
            </w:tcMar>
            <w:vAlign w:val="center"/>
          </w:tcPr>
          <w:p>
            <w:r>
              <w:rPr>
                <w:sz w:val="20"/>
                <w:szCs w:val="20"/>
              </w:rPr>
              <w:t xml:space="preserve">Confidential – Internal Training Use Only</w:t>
            </w:r>
          </w:p>
        </w:tc>
      </w:tr>
    </w:tbl>
    <w:p>
      <w:pPr>
        <w:spacing w:before="400"/>
      </w:pPr>
      <w:r>
        <w:br w:type="page"/>
      </w:r>
    </w:p>
    <w:p>
      <w:pPr>
        <w:pStyle w:val="Heading1"/>
        <w:pBdr>
          <w:bottom w:val="single" w:color="1F3864" w:sz="8" w:space="4"/>
        </w:pBdr>
        <w:spacing w:after="160" w:before="360"/>
      </w:pPr>
      <w:r>
        <w:rPr>
          <w:b/>
          <w:bCs/>
          <w:color w:val="1F3864"/>
          <w:sz w:val="30"/>
          <w:szCs w:val="30"/>
        </w:rPr>
        <w:t xml:space="preserve">Table of Contents</w:t>
      </w:r>
    </w:p>
    <w:p>
      <w:pPr>
        <w:tabs>
          <w:tab w:val="right" w:pos="9026" w:leader="dot"/>
        </w:tabs>
        <w:spacing w:after="120"/>
        <w:ind w:left="0"/>
      </w:pPr>
      <w:r>
        <w:rPr>
          <w:sz w:val="22"/>
          <w:szCs w:val="22"/>
        </w:rPr>
        <w:t xml:space="preserve">1. Liability Disclaimer	3</w:t>
      </w:r>
    </w:p>
    <w:p>
      <w:pPr>
        <w:tabs>
          <w:tab w:val="right" w:pos="9026" w:leader="dot"/>
        </w:tabs>
        <w:spacing w:after="120"/>
        <w:ind w:left="0"/>
      </w:pPr>
      <w:r>
        <w:rPr>
          <w:sz w:val="22"/>
          <w:szCs w:val="22"/>
        </w:rPr>
        <w:t xml:space="preserve">2. Introduction	3</w:t>
      </w:r>
    </w:p>
    <w:p>
      <w:pPr>
        <w:tabs>
          <w:tab w:val="right" w:pos="9026" w:leader="dot"/>
        </w:tabs>
        <w:spacing w:after="120"/>
        <w:ind w:left="0"/>
      </w:pPr>
      <w:r>
        <w:rPr>
          <w:sz w:val="22"/>
          <w:szCs w:val="22"/>
        </w:rPr>
        <w:t xml:space="preserve">3. Scope of Engagement &amp; Authorization	3</w:t>
      </w:r>
    </w:p>
    <w:p>
      <w:pPr>
        <w:tabs>
          <w:tab w:val="right" w:pos="9026" w:leader="dot"/>
        </w:tabs>
        <w:spacing w:after="120"/>
        <w:ind w:left="0"/>
      </w:pPr>
      <w:r>
        <w:rPr>
          <w:sz w:val="22"/>
          <w:szCs w:val="22"/>
        </w:rPr>
        <w:t xml:space="preserve">4. Tools &amp; Techniques Used	4</w:t>
      </w:r>
    </w:p>
    <w:p>
      <w:pPr>
        <w:tabs>
          <w:tab w:val="right" w:pos="9026" w:leader="dot"/>
        </w:tabs>
        <w:spacing w:after="120"/>
        <w:ind w:left="0"/>
      </w:pPr>
      <w:r>
        <w:rPr>
          <w:sz w:val="22"/>
          <w:szCs w:val="22"/>
        </w:rPr>
        <w:t xml:space="preserve">5. Methodology	6</w:t>
      </w:r>
    </w:p>
    <w:p>
      <w:pPr>
        <w:tabs>
          <w:tab w:val="right" w:pos="9026" w:leader="dot"/>
        </w:tabs>
        <w:spacing w:after="120"/>
        <w:ind w:left="0"/>
      </w:pPr>
      <w:r>
        <w:rPr>
          <w:sz w:val="22"/>
          <w:szCs w:val="22"/>
        </w:rPr>
        <w:t xml:space="preserve">6. Activities Performed	6</w:t>
      </w:r>
    </w:p>
    <w:p>
      <w:pPr>
        <w:tabs>
          <w:tab w:val="right" w:pos="9026" w:leader="dot"/>
        </w:tabs>
        <w:spacing w:after="120"/>
        <w:ind w:left="300"/>
      </w:pPr>
      <w:r>
        <w:rPr>
          <w:sz w:val="22"/>
          <w:szCs w:val="22"/>
        </w:rPr>
        <w:t xml:space="preserve">6.1 Module 1 — Footprinting with Multiple Kali Linux Tools	6</w:t>
      </w:r>
    </w:p>
    <w:p>
      <w:pPr>
        <w:tabs>
          <w:tab w:val="right" w:pos="9026" w:leader="dot"/>
        </w:tabs>
        <w:spacing w:after="120"/>
        <w:ind w:left="300"/>
      </w:pPr>
      <w:r>
        <w:rPr>
          <w:sz w:val="22"/>
          <w:szCs w:val="22"/>
        </w:rPr>
        <w:t xml:space="preserve">6.2 Module 2 — Footprinting with the Google Hacking Database (GHDB)	12</w:t>
      </w:r>
    </w:p>
    <w:p>
      <w:pPr>
        <w:tabs>
          <w:tab w:val="right" w:pos="9026" w:leader="dot"/>
        </w:tabs>
        <w:spacing w:after="120"/>
        <w:ind w:left="300"/>
      </w:pPr>
      <w:r>
        <w:rPr>
          <w:sz w:val="22"/>
          <w:szCs w:val="22"/>
        </w:rPr>
        <w:t xml:space="preserve">6.3 Module 3 — Footprinting with Maltego	14</w:t>
      </w:r>
    </w:p>
    <w:p>
      <w:pPr>
        <w:tabs>
          <w:tab w:val="right" w:pos="9026" w:leader="dot"/>
        </w:tabs>
        <w:spacing w:after="120"/>
        <w:ind w:left="300"/>
      </w:pPr>
      <w:r>
        <w:rPr>
          <w:sz w:val="22"/>
          <w:szCs w:val="22"/>
        </w:rPr>
        <w:t xml:space="preserve">6.4 Module 4 — Footprinting with theHarvester	15</w:t>
      </w:r>
    </w:p>
    <w:p>
      <w:pPr>
        <w:tabs>
          <w:tab w:val="right" w:pos="9026" w:leader="dot"/>
        </w:tabs>
        <w:spacing w:after="120"/>
        <w:ind w:left="300"/>
      </w:pPr>
      <w:r>
        <w:rPr>
          <w:sz w:val="22"/>
          <w:szCs w:val="22"/>
        </w:rPr>
        <w:t xml:space="preserve">6.5 Module 5 — Network Scanning with Zenmap	18</w:t>
      </w:r>
    </w:p>
    <w:p>
      <w:pPr>
        <w:tabs>
          <w:tab w:val="right" w:pos="9026" w:leader="dot"/>
        </w:tabs>
        <w:spacing w:after="120"/>
        <w:ind w:left="0"/>
      </w:pPr>
      <w:r>
        <w:rPr>
          <w:sz w:val="22"/>
          <w:szCs w:val="22"/>
        </w:rPr>
        <w:t xml:space="preserve">7. Consolidated Findings Summary	21</w:t>
      </w:r>
    </w:p>
    <w:p>
      <w:pPr>
        <w:tabs>
          <w:tab w:val="right" w:pos="9026" w:leader="dot"/>
        </w:tabs>
        <w:spacing w:after="120"/>
        <w:ind w:left="0"/>
      </w:pPr>
      <w:r>
        <w:rPr>
          <w:sz w:val="22"/>
          <w:szCs w:val="22"/>
        </w:rPr>
        <w:t xml:space="preserve">8. Risk Analysis / Impact	22</w:t>
      </w:r>
    </w:p>
    <w:p>
      <w:pPr>
        <w:tabs>
          <w:tab w:val="right" w:pos="9026" w:leader="dot"/>
        </w:tabs>
        <w:spacing w:after="120"/>
        <w:ind w:left="0"/>
      </w:pPr>
      <w:r>
        <w:rPr>
          <w:sz w:val="22"/>
          <w:szCs w:val="22"/>
        </w:rPr>
        <w:t xml:space="preserve">9. Recommendations	24</w:t>
      </w:r>
    </w:p>
    <w:p>
      <w:pPr>
        <w:tabs>
          <w:tab w:val="right" w:pos="9026" w:leader="dot"/>
        </w:tabs>
        <w:spacing w:after="120"/>
        <w:ind w:left="0"/>
      </w:pPr>
      <w:r>
        <w:rPr>
          <w:sz w:val="22"/>
          <w:szCs w:val="22"/>
        </w:rPr>
        <w:t xml:space="preserve">10. Conclusion	25</w:t>
      </w:r>
    </w:p>
    <w:p>
      <w:pPr>
        <w:tabs>
          <w:tab w:val="right" w:pos="9026" w:leader="dot"/>
        </w:tabs>
        <w:spacing w:after="120"/>
        <w:ind w:left="0"/>
      </w:pPr>
      <w:r>
        <w:rPr>
          <w:sz w:val="22"/>
          <w:szCs w:val="22"/>
        </w:rPr>
        <w:t xml:space="preserve">11. Evidence Index	26</w:t>
      </w:r>
    </w:p>
    <w:p>
      <w:pPr>
        <w:tabs>
          <w:tab w:val="right" w:pos="9026" w:leader="dot"/>
        </w:tabs>
        <w:spacing w:after="120"/>
        <w:ind w:left="0"/>
      </w:pPr>
      <w:r>
        <w:rPr>
          <w:sz w:val="22"/>
          <w:szCs w:val="22"/>
        </w:rPr>
        <w:t xml:space="preserve">Author &amp; Project Information	27</w:t>
      </w:r>
    </w:p>
    <w:p>
      <w:r>
        <w:br w:type="page"/>
      </w:r>
    </w:p>
    <w:p>
      <w:pPr>
        <w:pStyle w:val="Heading1"/>
        <w:pBdr>
          <w:bottom w:val="single" w:color="1F3864" w:sz="8" w:space="4"/>
        </w:pBdr>
        <w:spacing w:after="160" w:before="360"/>
      </w:pPr>
      <w:r>
        <w:rPr>
          <w:b/>
          <w:bCs/>
          <w:color w:val="1F3864"/>
          <w:sz w:val="30"/>
          <w:szCs w:val="30"/>
        </w:rPr>
        <w:t xml:space="preserve">1. Liability Disclaimer</w:t>
      </w:r>
    </w:p>
    <w:p>
      <w:pPr>
        <w:spacing w:after="160" w:line="276"/>
      </w:pPr>
      <w:r>
        <w:rPr>
          <w:sz w:val="22"/>
          <w:szCs w:val="22"/>
        </w:rPr>
        <w:t xml:space="preserve">All activities documented in this report were carried out strictly within the scope and dates authorized under Letter of Authorization NW-LOA-B082-017, issued by Networkwalks to the intern named on the cover page for the period 17–24 August 2026. Two categories of targets were tested:</w:t>
      </w:r>
    </w:p>
    <w:p>
      <w:pPr>
        <w:pStyle w:val="ListParagraph"/>
        <w:numPr>
          <w:ilvl w:val="0"/>
          <w:numId w:val="1"/>
        </w:numPr>
        <w:spacing w:after="80"/>
      </w:pPr>
      <w:r>
        <w:rPr>
          <w:sz w:val="22"/>
          <w:szCs w:val="22"/>
        </w:rPr>
        <w:t xml:space="preserve">networkwalks.com and its public DNS infrastructure — tested under written client authorization.</w:t>
      </w:r>
    </w:p>
    <w:p>
      <w:pPr>
        <w:pStyle w:val="ListParagraph"/>
        <w:numPr>
          <w:ilvl w:val="0"/>
          <w:numId w:val="1"/>
        </w:numPr>
        <w:spacing w:after="80"/>
      </w:pPr>
      <w:r>
        <w:rPr>
          <w:sz w:val="22"/>
          <w:szCs w:val="22"/>
        </w:rPr>
        <w:t xml:space="preserve">My own personally owned local area network (LAN) — tested under owner's consent.</w:t>
      </w:r>
    </w:p>
    <w:p>
      <w:pPr>
        <w:spacing w:after="160" w:line="276"/>
      </w:pPr>
      <w:r>
        <w:rPr>
          <w:sz w:val="22"/>
          <w:szCs w:val="22"/>
        </w:rPr>
        <w:t xml:space="preserve">Where a third-party public domain (microsoft.com) appears in this report, it was queried only through theHarvester's passive, public-source OSINT lookups (public search engines and public DNS/whois-style sources). No direct scanning, connection, authentication attempt, or intrusive probing was performed against that domain — this is consistent with the training exercise defined in Module W2-PM4.</w:t>
      </w:r>
    </w:p>
    <w:p>
      <w:pPr>
        <w:spacing w:after="160" w:line="276"/>
      </w:pPr>
      <w:r>
        <w:rPr>
          <w:sz w:val="22"/>
          <w:szCs w:val="22"/>
        </w:rPr>
        <w:t xml:space="preserve">All material in this report is provided strictly for education and professional-development purposes as part of the Networkwalks Cybersecurity &amp; Ethical Hacking internship programme. Nothing in this document should be used to access, test, or interfere with any system for which the reader does not hold explicit written authorization. The instructor, the authors, and Networkwalks accept no responsibility for any misuse of the techniques, commands, or findings described here. Unauthorized access to computer systems is a criminal offence in most jurisdictions, even where no damage results, and may lead to criminal prosecution, civil liability, loss of employment, and a permanent criminal record. Every reader remains solely responsible for ensuring their own compliance with applicable law before acting on any information in this report.</w:t>
      </w:r>
    </w:p>
    <w:p>
      <w:pPr>
        <w:pStyle w:val="Heading1"/>
        <w:pBdr>
          <w:bottom w:val="single" w:color="1F3864" w:sz="8" w:space="4"/>
        </w:pBdr>
        <w:spacing w:after="160" w:before="360"/>
      </w:pPr>
      <w:r>
        <w:rPr>
          <w:b/>
          <w:bCs/>
          <w:color w:val="1F3864"/>
          <w:sz w:val="30"/>
          <w:szCs w:val="30"/>
        </w:rPr>
        <w:t xml:space="preserve">2. Introduction</w:t>
      </w:r>
    </w:p>
    <w:p>
      <w:pPr>
        <w:spacing w:after="160" w:line="276"/>
      </w:pPr>
      <w:r>
        <w:rPr>
          <w:sz w:val="22"/>
          <w:szCs w:val="22"/>
        </w:rPr>
        <w:t xml:space="preserve">This report documents Week 2 of my Cybersecurity &amp; Ethical Hacking internship (Batch B082) at Networkwalks. Week 2 focuses on Phase 1 (Reconnaissance &amp; Footprinting) and Phase 2 (Scanning &amp; Network Discovery) of the standard penetration-testing lifecycle, and is built around five practical project modules:</w:t>
      </w:r>
    </w:p>
    <w:p>
      <w:pPr>
        <w:pStyle w:val="ListParagraph"/>
        <w:numPr>
          <w:ilvl w:val="0"/>
          <w:numId w:val="1"/>
        </w:numPr>
        <w:spacing w:after="80"/>
      </w:pPr>
      <w:r>
        <w:rPr>
          <w:b/>
          <w:bCs/>
        </w:rPr>
        <w:t xml:space="preserve">W2-PM1</w:t>
      </w:r>
      <w:r>
        <w:t xml:space="preserve"> – Footprinting &amp; reconnaissance of networkwalks.com using six Kali Linux command-line tools (whois, whatweb, nslookup, curl, wafw00f, dnsrecon).</w:t>
      </w:r>
    </w:p>
    <w:p>
      <w:pPr>
        <w:pStyle w:val="ListParagraph"/>
        <w:numPr>
          <w:ilvl w:val="0"/>
          <w:numId w:val="1"/>
        </w:numPr>
        <w:spacing w:after="80"/>
      </w:pPr>
      <w:r>
        <w:rPr>
          <w:b/>
          <w:bCs/>
        </w:rPr>
        <w:t xml:space="preserve">W2-PM2</w:t>
      </w:r>
      <w:r>
        <w:t xml:space="preserve"> – Footprinting using the Google Hacking Database (GHDB) and advanced search operators ("Google dorking").</w:t>
      </w:r>
    </w:p>
    <w:p>
      <w:pPr>
        <w:pStyle w:val="ListParagraph"/>
        <w:numPr>
          <w:ilvl w:val="0"/>
          <w:numId w:val="1"/>
        </w:numPr>
        <w:spacing w:after="80"/>
      </w:pPr>
      <w:r>
        <w:rPr>
          <w:b/>
          <w:bCs/>
        </w:rPr>
        <w:t xml:space="preserve">W2-PM3</w:t>
      </w:r>
      <w:r>
        <w:t xml:space="preserve"> – Footprinting using Maltego, a graphical OSINT and link-analysis platform.</w:t>
      </w:r>
    </w:p>
    <w:p>
      <w:pPr>
        <w:pStyle w:val="ListParagraph"/>
        <w:numPr>
          <w:ilvl w:val="0"/>
          <w:numId w:val="1"/>
        </w:numPr>
        <w:spacing w:after="80"/>
      </w:pPr>
      <w:r>
        <w:rPr>
          <w:b/>
          <w:bCs/>
        </w:rPr>
        <w:t xml:space="preserve">W2-PM4</w:t>
      </w:r>
      <w:r>
        <w:t xml:space="preserve"> – Footprinting using theHarvester to enumerate emails, sub-domains and hosts from public sources.</w:t>
      </w:r>
    </w:p>
    <w:p>
      <w:pPr>
        <w:pStyle w:val="ListParagraph"/>
        <w:numPr>
          <w:ilvl w:val="0"/>
          <w:numId w:val="1"/>
        </w:numPr>
        <w:spacing w:after="80"/>
      </w:pPr>
      <w:r>
        <w:rPr>
          <w:b/>
          <w:bCs/>
        </w:rPr>
        <w:t xml:space="preserve">W2-PM5</w:t>
      </w:r>
      <w:r>
        <w:t xml:space="preserve"> – Active network scanning and host discovery on my own LAN using Zenmap (the Nmap GUI).</w:t>
      </w:r>
    </w:p>
    <w:p>
      <w:pPr>
        <w:spacing w:after="160" w:line="276"/>
      </w:pPr>
      <w:r>
        <w:rPr>
          <w:sz w:val="22"/>
          <w:szCs w:val="22"/>
        </w:rPr>
        <w:t xml:space="preserve">Together these modules show how a security professional (or an attacker) progresses from purely passive, public-information gathering — where the target is never directly contacted — through to light, non-intrusive active scanning that touches the target network directly. Every step below records the exact command or action used, the result observed, a screenshot as evidence, and a short analysis of why the finding matters from a security point of view.</w:t>
      </w:r>
    </w:p>
    <w:p>
      <w:pPr>
        <w:spacing w:after="160" w:line="276"/>
      </w:pPr>
      <w:r>
        <w:rPr>
          <w:sz w:val="22"/>
          <w:szCs w:val="22"/>
        </w:rPr>
        <w:t xml:space="preserve">All command-line activity in Modules 1 and 4 was performed in Kali Linux. Module 2 was performed using Google Search from a standard browser. Module 3 was performed using the Maltego Desktop client on Windows. Module 5 was performed using Zenmap on Windows against my own local subnet.</w:t>
      </w:r>
    </w:p>
    <w:p>
      <w:pPr>
        <w:pStyle w:val="Heading1"/>
        <w:pBdr>
          <w:bottom w:val="single" w:color="1F3864" w:sz="8" w:space="4"/>
        </w:pBdr>
        <w:spacing w:after="160" w:before="360"/>
      </w:pPr>
      <w:r>
        <w:rPr>
          <w:b/>
          <w:bCs/>
          <w:color w:val="1F3864"/>
          <w:sz w:val="30"/>
          <w:szCs w:val="30"/>
        </w:rPr>
        <w:t xml:space="preserve">3. Scope of Engagement &amp; Authorization</w:t>
      </w:r>
    </w:p>
    <w:p>
      <w:pPr>
        <w:spacing w:after="160" w:line="276"/>
      </w:pPr>
      <w:r>
        <w:rPr>
          <w:sz w:val="22"/>
          <w:szCs w:val="22"/>
        </w:rPr>
        <w:t xml:space="preserve">Testing was authorized under Letter of Authorization NW-LOA-B082-017 (17–24 August 2026). The table below summarizes the agreed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288"/>
      </w:tblGrid>
      <w:tr>
        <w:tc>
          <w:tcPr>
            <w:shd w:fill="1F3864" w:val="clear"/>
            <w:tcMar>
              <w:top w:type="dxa" w:w="100"/>
              <w:left w:type="dxa" w:w="120"/>
              <w:bottom w:type="dxa" w:w="100"/>
              <w:right w:type="dxa" w:w="120"/>
            </w:tcMar>
            <w:vAlign w:val="center"/>
          </w:tcPr>
          <w:p>
            <w:r>
              <w:rPr>
                <w:b/>
                <w:bCs/>
                <w:color w:val="FFFFFF"/>
                <w:sz w:val="20"/>
                <w:szCs w:val="20"/>
              </w:rPr>
              <w:t xml:space="preserve">Item</w:t>
            </w:r>
          </w:p>
        </w:tc>
        <w:tc>
          <w:tcPr>
            <w:shd w:fill="1F3864" w:val="clear"/>
            <w:tcMar>
              <w:top w:type="dxa" w:w="100"/>
              <w:left w:type="dxa" w:w="120"/>
              <w:bottom w:type="dxa" w:w="100"/>
              <w:right w:type="dxa" w:w="120"/>
            </w:tcMar>
            <w:vAlign w:val="center"/>
          </w:tcPr>
          <w:p>
            <w:r>
              <w:rPr>
                <w:b/>
                <w:bCs/>
                <w:color w:val="FFFFFF"/>
                <w:sz w:val="20"/>
                <w:szCs w:val="20"/>
              </w:rPr>
              <w:t xml:space="preserve">Detail</w:t>
            </w:r>
          </w:p>
        </w:tc>
      </w:tr>
      <w:tr>
        <w:tc>
          <w:tcPr>
            <w:tcMar>
              <w:top w:type="dxa" w:w="100"/>
              <w:left w:type="dxa" w:w="120"/>
              <w:bottom w:type="dxa" w:w="100"/>
              <w:right w:type="dxa" w:w="120"/>
            </w:tcMar>
            <w:vAlign w:val="center"/>
          </w:tcPr>
          <w:p>
            <w:pPr>
              <w:spacing w:after="160" w:line="276"/>
            </w:pPr>
            <w:r>
              <w:rPr>
                <w:sz w:val="22"/>
                <w:szCs w:val="22"/>
              </w:rPr>
              <w:t xml:space="preserve">In-scope targets</w:t>
            </w:r>
          </w:p>
        </w:tc>
        <w:tc>
          <w:tcPr>
            <w:tcMar>
              <w:top w:type="dxa" w:w="100"/>
              <w:left w:type="dxa" w:w="120"/>
              <w:bottom w:type="dxa" w:w="100"/>
              <w:right w:type="dxa" w:w="120"/>
            </w:tcMar>
            <w:vAlign w:val="center"/>
          </w:tcPr>
          <w:p>
            <w:pPr>
              <w:spacing w:after="160" w:line="276"/>
            </w:pPr>
            <w:r>
              <w:rPr>
                <w:sz w:val="22"/>
                <w:szCs w:val="22"/>
              </w:rPr>
              <w:t xml:space="preserve">networkwalks.com (public website &amp; DNS records) · My own LAN</w:t>
            </w:r>
          </w:p>
        </w:tc>
      </w:tr>
      <w:tr>
        <w:tc>
          <w:tcPr>
            <w:tcMar>
              <w:top w:type="dxa" w:w="100"/>
              <w:left w:type="dxa" w:w="120"/>
              <w:bottom w:type="dxa" w:w="100"/>
              <w:right w:type="dxa" w:w="120"/>
            </w:tcMar>
            <w:vAlign w:val="center"/>
          </w:tcPr>
          <w:p>
            <w:pPr>
              <w:spacing w:after="160" w:line="276"/>
            </w:pPr>
            <w:r>
              <w:rPr>
                <w:sz w:val="22"/>
                <w:szCs w:val="22"/>
              </w:rPr>
              <w:t xml:space="preserve">Authorized activities</w:t>
            </w:r>
          </w:p>
        </w:tc>
        <w:tc>
          <w:tcPr>
            <w:tcMar>
              <w:top w:type="dxa" w:w="100"/>
              <w:left w:type="dxa" w:w="120"/>
              <w:bottom w:type="dxa" w:w="100"/>
              <w:right w:type="dxa" w:w="120"/>
            </w:tcMar>
            <w:vAlign w:val="center"/>
          </w:tcPr>
          <w:p>
            <w:pPr>
              <w:spacing w:after="160" w:line="276"/>
            </w:pPr>
            <w:r>
              <w:rPr>
                <w:sz w:val="22"/>
                <w:szCs w:val="22"/>
              </w:rPr>
              <w:t xml:space="preserve">Passive/light footprinting (whois, whatweb, nslookup, curl, wafw00f, dnsrecon, theHarvester, Maltego, GHDB search) · Non-intrusive ping-scan host discovery (Zenmap)</w:t>
            </w:r>
          </w:p>
        </w:tc>
      </w:tr>
      <w:tr>
        <w:tc>
          <w:tcPr>
            <w:tcMar>
              <w:top w:type="dxa" w:w="100"/>
              <w:left w:type="dxa" w:w="120"/>
              <w:bottom w:type="dxa" w:w="100"/>
              <w:right w:type="dxa" w:w="120"/>
            </w:tcMar>
            <w:vAlign w:val="center"/>
          </w:tcPr>
          <w:p>
            <w:pPr>
              <w:spacing w:after="160" w:line="276"/>
            </w:pPr>
            <w:r>
              <w:rPr>
                <w:sz w:val="22"/>
                <w:szCs w:val="22"/>
              </w:rPr>
              <w:t xml:space="preserve">Explicitly prohibited</w:t>
            </w:r>
          </w:p>
        </w:tc>
        <w:tc>
          <w:tcPr>
            <w:tcMar>
              <w:top w:type="dxa" w:w="100"/>
              <w:left w:type="dxa" w:w="120"/>
              <w:bottom w:type="dxa" w:w="100"/>
              <w:right w:type="dxa" w:w="120"/>
            </w:tcMar>
            <w:vAlign w:val="center"/>
          </w:tcPr>
          <w:p>
            <w:pPr>
              <w:spacing w:after="160" w:line="276"/>
            </w:pPr>
            <w:r>
              <w:rPr>
                <w:sz w:val="22"/>
                <w:szCs w:val="22"/>
              </w:rPr>
              <w:t xml:space="preserve">Exploitation, unauthorized access, privilege escalation, denial-of-service, brute-force/password attacks, data access/modification/deletion, social engineering of client staff</w:t>
            </w:r>
          </w:p>
        </w:tc>
      </w:tr>
      <w:tr>
        <w:tc>
          <w:tcPr>
            <w:tcMar>
              <w:top w:type="dxa" w:w="100"/>
              <w:left w:type="dxa" w:w="120"/>
              <w:bottom w:type="dxa" w:w="100"/>
              <w:right w:type="dxa" w:w="120"/>
            </w:tcMar>
            <w:vAlign w:val="center"/>
          </w:tcPr>
          <w:p>
            <w:pPr>
              <w:spacing w:after="160" w:line="276"/>
            </w:pPr>
            <w:r>
              <w:rPr>
                <w:sz w:val="22"/>
                <w:szCs w:val="22"/>
              </w:rPr>
              <w:t xml:space="preserve">Third-party OSINT target</w:t>
            </w:r>
          </w:p>
        </w:tc>
        <w:tc>
          <w:tcPr>
            <w:tcMar>
              <w:top w:type="dxa" w:w="100"/>
              <w:left w:type="dxa" w:w="120"/>
              <w:bottom w:type="dxa" w:w="100"/>
              <w:right w:type="dxa" w:w="120"/>
            </w:tcMar>
            <w:vAlign w:val="center"/>
          </w:tcPr>
          <w:p>
            <w:pPr>
              <w:spacing w:after="160" w:line="276"/>
            </w:pPr>
            <w:r>
              <w:rPr>
                <w:sz w:val="22"/>
                <w:szCs w:val="22"/>
              </w:rPr>
              <w:t xml:space="preserve">microsoft.com — queried only via theHarvester's passive public-source lookups (Module W2-PM4), never scanned or connected to directly</w:t>
            </w:r>
          </w:p>
        </w:tc>
      </w:tr>
      <w:tr>
        <w:tc>
          <w:tcPr>
            <w:tcMar>
              <w:top w:type="dxa" w:w="100"/>
              <w:left w:type="dxa" w:w="120"/>
              <w:bottom w:type="dxa" w:w="100"/>
              <w:right w:type="dxa" w:w="120"/>
            </w:tcMar>
            <w:vAlign w:val="center"/>
          </w:tcPr>
          <w:p>
            <w:pPr>
              <w:spacing w:after="160" w:line="276"/>
            </w:pPr>
            <w:r>
              <w:rPr>
                <w:sz w:val="22"/>
                <w:szCs w:val="22"/>
              </w:rPr>
              <w:t xml:space="preserve">Authorization validity</w:t>
            </w:r>
          </w:p>
        </w:tc>
        <w:tc>
          <w:tcPr>
            <w:tcMar>
              <w:top w:type="dxa" w:w="100"/>
              <w:left w:type="dxa" w:w="120"/>
              <w:bottom w:type="dxa" w:w="100"/>
              <w:right w:type="dxa" w:w="120"/>
            </w:tcMar>
            <w:vAlign w:val="center"/>
          </w:tcPr>
          <w:p>
            <w:pPr>
              <w:spacing w:after="160" w:line="276"/>
            </w:pPr>
            <w:r>
              <w:rPr>
                <w:sz w:val="22"/>
                <w:szCs w:val="22"/>
              </w:rPr>
              <w:t xml:space="preserve">17 August 2026 – 24 August 2026</w:t>
            </w:r>
          </w:p>
        </w:tc>
      </w:tr>
    </w:tbl>
    <w:p>
      <w:pPr>
        <w:spacing w:after="160" w:line="276"/>
      </w:pPr>
      <w:r>
        <w:rPr>
          <w:sz w:val="22"/>
          <w:szCs w:val="22"/>
        </w:rPr>
        <w:t xml:space="preserve"/>
      </w:r>
    </w:p>
    <w:p>
      <w:pPr>
        <w:pStyle w:val="Heading1"/>
        <w:pBdr>
          <w:bottom w:val="single" w:color="1F3864" w:sz="8" w:space="4"/>
        </w:pBdr>
        <w:spacing w:after="160" w:before="360"/>
      </w:pPr>
      <w:r>
        <w:rPr>
          <w:b/>
          <w:bCs/>
          <w:color w:val="1F3864"/>
          <w:sz w:val="30"/>
          <w:szCs w:val="30"/>
        </w:rPr>
        <w:t xml:space="preserve">4. Tools &amp; Techniques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888"/>
      </w:tblGrid>
      <w:tr>
        <w:tc>
          <w:tcPr>
            <w:shd w:fill="1F3864" w:val="clear"/>
            <w:tcMar>
              <w:top w:type="dxa" w:w="100"/>
              <w:left w:type="dxa" w:w="120"/>
              <w:bottom w:type="dxa" w:w="100"/>
              <w:right w:type="dxa" w:w="120"/>
            </w:tcMar>
            <w:vAlign w:val="center"/>
          </w:tcPr>
          <w:p>
            <w:r>
              <w:rPr>
                <w:b/>
                <w:bCs/>
                <w:color w:val="FFFFFF"/>
                <w:sz w:val="20"/>
                <w:szCs w:val="20"/>
              </w:rPr>
              <w:t xml:space="preserve">Tool / Technique</w:t>
            </w:r>
          </w:p>
        </w:tc>
        <w:tc>
          <w:tcPr>
            <w:shd w:fill="1F3864" w:val="clear"/>
            <w:tcMar>
              <w:top w:type="dxa" w:w="100"/>
              <w:left w:type="dxa" w:w="120"/>
              <w:bottom w:type="dxa" w:w="100"/>
              <w:right w:type="dxa" w:w="120"/>
            </w:tcMar>
            <w:vAlign w:val="center"/>
          </w:tcPr>
          <w:p>
            <w:r>
              <w:rPr>
                <w:b/>
                <w:bCs/>
                <w:color w:val="FFFFFF"/>
                <w:sz w:val="20"/>
                <w:szCs w:val="20"/>
              </w:rPr>
              <w:t xml:space="preserve">Purpose</w:t>
            </w:r>
          </w:p>
        </w:tc>
      </w:tr>
      <w:tr>
        <w:tc>
          <w:tcPr>
            <w:tcMar>
              <w:top w:type="dxa" w:w="100"/>
              <w:left w:type="dxa" w:w="120"/>
              <w:bottom w:type="dxa" w:w="100"/>
              <w:right w:type="dxa" w:w="120"/>
            </w:tcMar>
            <w:vAlign w:val="center"/>
          </w:tcPr>
          <w:p>
            <w:pPr>
              <w:spacing w:after="160" w:line="276"/>
            </w:pPr>
            <w:r>
              <w:rPr>
                <w:b/>
                <w:bCs/>
                <w:sz w:val="22"/>
                <w:szCs w:val="22"/>
              </w:rPr>
              <w:t xml:space="preserve">Kali Linux</w:t>
            </w:r>
          </w:p>
        </w:tc>
        <w:tc>
          <w:tcPr>
            <w:tcMar>
              <w:top w:type="dxa" w:w="100"/>
              <w:left w:type="dxa" w:w="120"/>
              <w:bottom w:type="dxa" w:w="100"/>
              <w:right w:type="dxa" w:w="120"/>
            </w:tcMar>
            <w:vAlign w:val="center"/>
          </w:tcPr>
          <w:p>
            <w:pPr>
              <w:spacing w:after="160" w:line="276"/>
            </w:pPr>
            <w:r>
              <w:rPr>
                <w:sz w:val="22"/>
                <w:szCs w:val="22"/>
              </w:rPr>
              <w:t xml:space="preserve">Primary operating system used for command-line reconnaissance (Modules 1 &amp; 4).</w:t>
            </w:r>
          </w:p>
        </w:tc>
      </w:tr>
      <w:tr>
        <w:tc>
          <w:tcPr>
            <w:tcMar>
              <w:top w:type="dxa" w:w="100"/>
              <w:left w:type="dxa" w:w="120"/>
              <w:bottom w:type="dxa" w:w="100"/>
              <w:right w:type="dxa" w:w="120"/>
            </w:tcMar>
            <w:vAlign w:val="center"/>
          </w:tcPr>
          <w:p>
            <w:pPr>
              <w:spacing w:after="160" w:line="276"/>
            </w:pPr>
            <w:r>
              <w:rPr>
                <w:b/>
                <w:bCs/>
                <w:sz w:val="22"/>
                <w:szCs w:val="22"/>
              </w:rPr>
              <w:t xml:space="preserve">WHOIS</w:t>
            </w:r>
          </w:p>
        </w:tc>
        <w:tc>
          <w:tcPr>
            <w:tcMar>
              <w:top w:type="dxa" w:w="100"/>
              <w:left w:type="dxa" w:w="120"/>
              <w:bottom w:type="dxa" w:w="100"/>
              <w:right w:type="dxa" w:w="120"/>
            </w:tcMar>
            <w:vAlign w:val="center"/>
          </w:tcPr>
          <w:p>
            <w:pPr>
              <w:spacing w:after="160" w:line="276"/>
            </w:pPr>
            <w:r>
              <w:rPr>
                <w:sz w:val="22"/>
                <w:szCs w:val="22"/>
              </w:rPr>
              <w:t xml:space="preserve">Retrieve public domain registration data — registrar, registrant, dates and name servers.</w:t>
            </w:r>
          </w:p>
        </w:tc>
      </w:tr>
      <w:tr>
        <w:tc>
          <w:tcPr>
            <w:tcMar>
              <w:top w:type="dxa" w:w="100"/>
              <w:left w:type="dxa" w:w="120"/>
              <w:bottom w:type="dxa" w:w="100"/>
              <w:right w:type="dxa" w:w="120"/>
            </w:tcMar>
            <w:vAlign w:val="center"/>
          </w:tcPr>
          <w:p>
            <w:pPr>
              <w:spacing w:after="160" w:line="276"/>
            </w:pPr>
            <w:r>
              <w:rPr>
                <w:b/>
                <w:bCs/>
                <w:sz w:val="22"/>
                <w:szCs w:val="22"/>
              </w:rPr>
              <w:t xml:space="preserve">WhatWeb</w:t>
            </w:r>
          </w:p>
        </w:tc>
        <w:tc>
          <w:tcPr>
            <w:tcMar>
              <w:top w:type="dxa" w:w="100"/>
              <w:left w:type="dxa" w:w="120"/>
              <w:bottom w:type="dxa" w:w="100"/>
              <w:right w:type="dxa" w:w="120"/>
            </w:tcMar>
            <w:vAlign w:val="center"/>
          </w:tcPr>
          <w:p>
            <w:pPr>
              <w:spacing w:after="160" w:line="276"/>
            </w:pPr>
            <w:r>
              <w:rPr>
                <w:sz w:val="22"/>
                <w:szCs w:val="22"/>
              </w:rPr>
              <w:t xml:space="preserve">Fingerprint web technologies: server software, CMS, plugins, frameworks, exposed IP/email.</w:t>
            </w:r>
          </w:p>
        </w:tc>
      </w:tr>
      <w:tr>
        <w:tc>
          <w:tcPr>
            <w:tcMar>
              <w:top w:type="dxa" w:w="100"/>
              <w:left w:type="dxa" w:w="120"/>
              <w:bottom w:type="dxa" w:w="100"/>
              <w:right w:type="dxa" w:w="120"/>
            </w:tcMar>
            <w:vAlign w:val="center"/>
          </w:tcPr>
          <w:p>
            <w:pPr>
              <w:spacing w:after="160" w:line="276"/>
            </w:pPr>
            <w:r>
              <w:rPr>
                <w:b/>
                <w:bCs/>
                <w:sz w:val="22"/>
                <w:szCs w:val="22"/>
              </w:rPr>
              <w:t xml:space="preserve">Nslookup</w:t>
            </w:r>
          </w:p>
        </w:tc>
        <w:tc>
          <w:tcPr>
            <w:tcMar>
              <w:top w:type="dxa" w:w="100"/>
              <w:left w:type="dxa" w:w="120"/>
              <w:bottom w:type="dxa" w:w="100"/>
              <w:right w:type="dxa" w:w="120"/>
            </w:tcMar>
            <w:vAlign w:val="center"/>
          </w:tcPr>
          <w:p>
            <w:pPr>
              <w:spacing w:after="160" w:line="276"/>
            </w:pPr>
            <w:r>
              <w:rPr>
                <w:sz w:val="22"/>
                <w:szCs w:val="22"/>
              </w:rPr>
              <w:t xml:space="preserve">Resolve a domain name to its IP address using DNS.</w:t>
            </w:r>
          </w:p>
        </w:tc>
      </w:tr>
      <w:tr>
        <w:tc>
          <w:tcPr>
            <w:tcMar>
              <w:top w:type="dxa" w:w="100"/>
              <w:left w:type="dxa" w:w="120"/>
              <w:bottom w:type="dxa" w:w="100"/>
              <w:right w:type="dxa" w:w="120"/>
            </w:tcMar>
            <w:vAlign w:val="center"/>
          </w:tcPr>
          <w:p>
            <w:pPr>
              <w:spacing w:after="160" w:line="276"/>
            </w:pPr>
            <w:r>
              <w:rPr>
                <w:b/>
                <w:bCs/>
                <w:sz w:val="22"/>
                <w:szCs w:val="22"/>
              </w:rPr>
              <w:t xml:space="preserve">Curl (-I)</w:t>
            </w:r>
          </w:p>
        </w:tc>
        <w:tc>
          <w:tcPr>
            <w:tcMar>
              <w:top w:type="dxa" w:w="100"/>
              <w:left w:type="dxa" w:w="120"/>
              <w:bottom w:type="dxa" w:w="100"/>
              <w:right w:type="dxa" w:w="120"/>
            </w:tcMar>
            <w:vAlign w:val="center"/>
          </w:tcPr>
          <w:p>
            <w:pPr>
              <w:spacing w:after="160" w:line="276"/>
            </w:pPr>
            <w:r>
              <w:rPr>
                <w:sz w:val="22"/>
                <w:szCs w:val="22"/>
              </w:rPr>
              <w:t xml:space="preserve">Retrieve raw HTTP response headers without downloading the page body.</w:t>
            </w:r>
          </w:p>
        </w:tc>
      </w:tr>
      <w:tr>
        <w:tc>
          <w:tcPr>
            <w:tcMar>
              <w:top w:type="dxa" w:w="100"/>
              <w:left w:type="dxa" w:w="120"/>
              <w:bottom w:type="dxa" w:w="100"/>
              <w:right w:type="dxa" w:w="120"/>
            </w:tcMar>
            <w:vAlign w:val="center"/>
          </w:tcPr>
          <w:p>
            <w:pPr>
              <w:spacing w:after="160" w:line="276"/>
            </w:pPr>
            <w:r>
              <w:rPr>
                <w:b/>
                <w:bCs/>
                <w:sz w:val="22"/>
                <w:szCs w:val="22"/>
              </w:rPr>
              <w:t xml:space="preserve">Wafw00f</w:t>
            </w:r>
          </w:p>
        </w:tc>
        <w:tc>
          <w:tcPr>
            <w:tcMar>
              <w:top w:type="dxa" w:w="100"/>
              <w:left w:type="dxa" w:w="120"/>
              <w:bottom w:type="dxa" w:w="100"/>
              <w:right w:type="dxa" w:w="120"/>
            </w:tcMar>
            <w:vAlign w:val="center"/>
          </w:tcPr>
          <w:p>
            <w:pPr>
              <w:spacing w:after="160" w:line="276"/>
            </w:pPr>
            <w:r>
              <w:rPr>
                <w:sz w:val="22"/>
                <w:szCs w:val="22"/>
              </w:rPr>
              <w:t xml:space="preserve">Detect and identify the Web Application Firewall (WAF) protecting a site, if any.</w:t>
            </w:r>
          </w:p>
        </w:tc>
      </w:tr>
      <w:tr>
        <w:tc>
          <w:tcPr>
            <w:tcMar>
              <w:top w:type="dxa" w:w="100"/>
              <w:left w:type="dxa" w:w="120"/>
              <w:bottom w:type="dxa" w:w="100"/>
              <w:right w:type="dxa" w:w="120"/>
            </w:tcMar>
            <w:vAlign w:val="center"/>
          </w:tcPr>
          <w:p>
            <w:pPr>
              <w:spacing w:after="160" w:line="276"/>
            </w:pPr>
            <w:r>
              <w:rPr>
                <w:b/>
                <w:bCs/>
                <w:sz w:val="22"/>
                <w:szCs w:val="22"/>
              </w:rPr>
              <w:t xml:space="preserve">DNSrecon</w:t>
            </w:r>
          </w:p>
        </w:tc>
        <w:tc>
          <w:tcPr>
            <w:tcMar>
              <w:top w:type="dxa" w:w="100"/>
              <w:left w:type="dxa" w:w="120"/>
              <w:bottom w:type="dxa" w:w="100"/>
              <w:right w:type="dxa" w:w="120"/>
            </w:tcMar>
            <w:vAlign w:val="center"/>
          </w:tcPr>
          <w:p>
            <w:pPr>
              <w:spacing w:after="160" w:line="276"/>
            </w:pPr>
            <w:r>
              <w:rPr>
                <w:sz w:val="22"/>
                <w:szCs w:val="22"/>
              </w:rPr>
              <w:t xml:space="preserve">Enumerate DNS records (NS, A, MX, TXT/SPF, SRV) and attempt DNSSEC/zone checks.</w:t>
            </w:r>
          </w:p>
        </w:tc>
      </w:tr>
      <w:tr>
        <w:tc>
          <w:tcPr>
            <w:tcMar>
              <w:top w:type="dxa" w:w="100"/>
              <w:left w:type="dxa" w:w="120"/>
              <w:bottom w:type="dxa" w:w="100"/>
              <w:right w:type="dxa" w:w="120"/>
            </w:tcMar>
            <w:vAlign w:val="center"/>
          </w:tcPr>
          <w:p>
            <w:pPr>
              <w:spacing w:after="160" w:line="276"/>
            </w:pPr>
            <w:r>
              <w:rPr>
                <w:b/>
                <w:bCs/>
                <w:sz w:val="22"/>
                <w:szCs w:val="22"/>
              </w:rPr>
              <w:t xml:space="preserve">Google Hacking Database (GHDB) / Google dorking</w:t>
            </w:r>
          </w:p>
        </w:tc>
        <w:tc>
          <w:tcPr>
            <w:tcMar>
              <w:top w:type="dxa" w:w="100"/>
              <w:left w:type="dxa" w:w="120"/>
              <w:bottom w:type="dxa" w:w="100"/>
              <w:right w:type="dxa" w:w="120"/>
            </w:tcMar>
            <w:vAlign w:val="center"/>
          </w:tcPr>
          <w:p>
            <w:pPr>
              <w:spacing w:after="160" w:line="276"/>
            </w:pPr>
            <w:r>
              <w:rPr>
                <w:sz w:val="22"/>
                <w:szCs w:val="22"/>
              </w:rPr>
              <w:t xml:space="preserve">Use advanced Google search operators to locate publicly indexed but sensitive files, devices and directories.</w:t>
            </w:r>
          </w:p>
        </w:tc>
      </w:tr>
      <w:tr>
        <w:tc>
          <w:tcPr>
            <w:tcMar>
              <w:top w:type="dxa" w:w="100"/>
              <w:left w:type="dxa" w:w="120"/>
              <w:bottom w:type="dxa" w:w="100"/>
              <w:right w:type="dxa" w:w="120"/>
            </w:tcMar>
            <w:vAlign w:val="center"/>
          </w:tcPr>
          <w:p>
            <w:pPr>
              <w:spacing w:after="160" w:line="276"/>
            </w:pPr>
            <w:r>
              <w:rPr>
                <w:b/>
                <w:bCs/>
                <w:sz w:val="22"/>
                <w:szCs w:val="22"/>
              </w:rPr>
              <w:t xml:space="preserve">Maltego (Desktop Client)</w:t>
            </w:r>
          </w:p>
        </w:tc>
        <w:tc>
          <w:tcPr>
            <w:tcMar>
              <w:top w:type="dxa" w:w="100"/>
              <w:left w:type="dxa" w:w="120"/>
              <w:bottom w:type="dxa" w:w="100"/>
              <w:right w:type="dxa" w:w="120"/>
            </w:tcMar>
            <w:vAlign w:val="center"/>
          </w:tcPr>
          <w:p>
            <w:pPr>
              <w:spacing w:after="160" w:line="276"/>
            </w:pPr>
            <w:r>
              <w:rPr>
                <w:sz w:val="22"/>
                <w:szCs w:val="22"/>
              </w:rPr>
              <w:t xml:space="preserve">Graphical OSINT/link-analysis tool used to visually map a domain to related emails and URLs via transforms.</w:t>
            </w:r>
          </w:p>
        </w:tc>
      </w:tr>
      <w:tr>
        <w:tc>
          <w:tcPr>
            <w:tcMar>
              <w:top w:type="dxa" w:w="100"/>
              <w:left w:type="dxa" w:w="120"/>
              <w:bottom w:type="dxa" w:w="100"/>
              <w:right w:type="dxa" w:w="120"/>
            </w:tcMar>
            <w:vAlign w:val="center"/>
          </w:tcPr>
          <w:p>
            <w:pPr>
              <w:spacing w:after="160" w:line="276"/>
            </w:pPr>
            <w:r>
              <w:rPr>
                <w:b/>
                <w:bCs/>
                <w:sz w:val="22"/>
                <w:szCs w:val="22"/>
              </w:rPr>
              <w:t xml:space="preserve">theHarvester</w:t>
            </w:r>
          </w:p>
        </w:tc>
        <w:tc>
          <w:tcPr>
            <w:tcMar>
              <w:top w:type="dxa" w:w="100"/>
              <w:left w:type="dxa" w:w="120"/>
              <w:bottom w:type="dxa" w:w="100"/>
              <w:right w:type="dxa" w:w="120"/>
            </w:tcMar>
            <w:vAlign w:val="center"/>
          </w:tcPr>
          <w:p>
            <w:pPr>
              <w:spacing w:after="160" w:line="276"/>
            </w:pPr>
            <w:r>
              <w:rPr>
                <w:sz w:val="22"/>
                <w:szCs w:val="22"/>
              </w:rPr>
              <w:t xml:space="preserve">Aggregate emails, sub-domains and hosts for a target from public search engines and OSINT sources.</w:t>
            </w:r>
          </w:p>
        </w:tc>
      </w:tr>
      <w:tr>
        <w:tc>
          <w:tcPr>
            <w:tcMar>
              <w:top w:type="dxa" w:w="100"/>
              <w:left w:type="dxa" w:w="120"/>
              <w:bottom w:type="dxa" w:w="100"/>
              <w:right w:type="dxa" w:w="120"/>
            </w:tcMar>
            <w:vAlign w:val="center"/>
          </w:tcPr>
          <w:p>
            <w:pPr>
              <w:spacing w:after="160" w:line="276"/>
            </w:pPr>
            <w:r>
              <w:rPr>
                <w:b/>
                <w:bCs/>
                <w:sz w:val="22"/>
                <w:szCs w:val="22"/>
              </w:rPr>
              <w:t xml:space="preserve">Zenmap (Nmap GUI)</w:t>
            </w:r>
          </w:p>
        </w:tc>
        <w:tc>
          <w:tcPr>
            <w:tcMar>
              <w:top w:type="dxa" w:w="100"/>
              <w:left w:type="dxa" w:w="120"/>
              <w:bottom w:type="dxa" w:w="100"/>
              <w:right w:type="dxa" w:w="120"/>
            </w:tcMar>
            <w:vAlign w:val="center"/>
          </w:tcPr>
          <w:p>
            <w:pPr>
              <w:spacing w:after="160" w:line="276"/>
            </w:pPr>
            <w:r>
              <w:rPr>
                <w:sz w:val="22"/>
                <w:szCs w:val="22"/>
              </w:rPr>
              <w:t xml:space="preserve">Perform host-discovery (ping) scans of a subnet and visualize live hosts, IP/MAC addresses and topology.</w:t>
            </w:r>
          </w:p>
        </w:tc>
      </w:tr>
      <w:tr>
        <w:tc>
          <w:tcPr>
            <w:tcMar>
              <w:top w:type="dxa" w:w="100"/>
              <w:left w:type="dxa" w:w="120"/>
              <w:bottom w:type="dxa" w:w="100"/>
              <w:right w:type="dxa" w:w="120"/>
            </w:tcMar>
            <w:vAlign w:val="center"/>
          </w:tcPr>
          <w:p>
            <w:pPr>
              <w:spacing w:after="160" w:line="276"/>
            </w:pPr>
            <w:r>
              <w:rPr>
                <w:b/>
                <w:bCs/>
                <w:sz w:val="22"/>
                <w:szCs w:val="22"/>
              </w:rPr>
              <w:t xml:space="preserve">Windows CMD (ipconfig)</w:t>
            </w:r>
          </w:p>
        </w:tc>
        <w:tc>
          <w:tcPr>
            <w:tcMar>
              <w:top w:type="dxa" w:w="100"/>
              <w:left w:type="dxa" w:w="120"/>
              <w:bottom w:type="dxa" w:w="100"/>
              <w:right w:type="dxa" w:w="120"/>
            </w:tcMar>
            <w:vAlign w:val="center"/>
          </w:tcPr>
          <w:p>
            <w:pPr>
              <w:spacing w:after="160" w:line="276"/>
            </w:pPr>
            <w:r>
              <w:rPr>
                <w:sz w:val="22"/>
                <w:szCs w:val="22"/>
              </w:rPr>
              <w:t xml:space="preserve">Identify local IP address, subnet mask and MAC address of the testing machine.</w:t>
            </w:r>
          </w:p>
        </w:tc>
      </w:tr>
    </w:tbl>
    <w:p>
      <w:r>
        <w:br w:type="page"/>
      </w:r>
    </w:p>
    <w:p>
      <w:pPr>
        <w:pStyle w:val="Heading1"/>
        <w:pBdr>
          <w:bottom w:val="single" w:color="1F3864" w:sz="8" w:space="4"/>
        </w:pBdr>
        <w:spacing w:after="160" w:before="360"/>
      </w:pPr>
      <w:r>
        <w:rPr>
          <w:b/>
          <w:bCs/>
          <w:color w:val="1F3864"/>
          <w:sz w:val="30"/>
          <w:szCs w:val="30"/>
        </w:rPr>
        <w:t xml:space="preserve">5. Methodology</w:t>
      </w:r>
    </w:p>
    <w:p>
      <w:pPr>
        <w:spacing w:after="160" w:line="276"/>
      </w:pPr>
      <w:r>
        <w:rPr>
          <w:sz w:val="22"/>
          <w:szCs w:val="22"/>
        </w:rPr>
        <w:t xml:space="preserve">Each module was executed following the same repeatable four-step methodology so that findings can be reproduced and audited:</w:t>
      </w:r>
    </w:p>
    <w:p>
      <w:pPr>
        <w:pStyle w:val="ListParagraph"/>
        <w:numPr>
          <w:ilvl w:val="0"/>
          <w:numId w:val="2"/>
        </w:numPr>
        <w:spacing w:after="120"/>
      </w:pPr>
      <w:r>
        <w:rPr>
          <w:b/>
          <w:bCs/>
        </w:rPr>
        <w:t xml:space="preserve">Prepare – </w:t>
      </w:r>
      <w:r>
        <w:t xml:space="preserve">confirm the target is in scope and the required tool is installed and reachable.</w:t>
      </w:r>
    </w:p>
    <w:p>
      <w:pPr>
        <w:pStyle w:val="ListParagraph"/>
        <w:numPr>
          <w:ilvl w:val="0"/>
          <w:numId w:val="2"/>
        </w:numPr>
        <w:spacing w:after="120"/>
      </w:pPr>
      <w:r>
        <w:rPr>
          <w:b/>
          <w:bCs/>
        </w:rPr>
        <w:t xml:space="preserve">Execute – </w:t>
      </w:r>
      <w:r>
        <w:t xml:space="preserve">run the documented command or GUI action exactly as specified in the module guide.</w:t>
      </w:r>
    </w:p>
    <w:p>
      <w:pPr>
        <w:pStyle w:val="ListParagraph"/>
        <w:numPr>
          <w:ilvl w:val="0"/>
          <w:numId w:val="2"/>
        </w:numPr>
        <w:spacing w:after="120"/>
      </w:pPr>
      <w:r>
        <w:rPr>
          <w:b/>
          <w:bCs/>
        </w:rPr>
        <w:t xml:space="preserve">Capture – </w:t>
      </w:r>
      <w:r>
        <w:t xml:space="preserve">record the full console/GUI output, save a screenshot, and store the raw output as evidence.</w:t>
      </w:r>
    </w:p>
    <w:p>
      <w:pPr>
        <w:pStyle w:val="ListParagraph"/>
        <w:numPr>
          <w:ilvl w:val="0"/>
          <w:numId w:val="2"/>
        </w:numPr>
        <w:spacing w:after="120"/>
      </w:pPr>
      <w:r>
        <w:rPr>
          <w:b/>
          <w:bCs/>
        </w:rPr>
        <w:t xml:space="preserve">Analyse – </w:t>
      </w:r>
      <w:r>
        <w:t xml:space="preserve">interpret the result from an attacker's perspective and note any information disclosure or exposure.</w:t>
      </w:r>
    </w:p>
    <w:p>
      <w:pPr>
        <w:spacing w:after="160" w:line="276"/>
      </w:pPr>
      <w:r>
        <w:rPr>
          <w:sz w:val="22"/>
          <w:szCs w:val="22"/>
        </w:rPr>
        <w:t xml:space="preserve">This mirrors the first two phases of a standard penetration-testing lifecycle: Reconnaissance/Footprinting (passive, indirect information gathering) followed by Scanning/Enumeration (light, direct probing of the target). No exploitation phase was performed in Week 2.</w:t>
      </w:r>
    </w:p>
    <w:p>
      <w:pPr>
        <w:pStyle w:val="Heading1"/>
        <w:pBdr>
          <w:bottom w:val="single" w:color="1F3864" w:sz="8" w:space="4"/>
        </w:pBdr>
        <w:spacing w:after="160" w:before="360"/>
      </w:pPr>
      <w:r>
        <w:rPr>
          <w:b/>
          <w:bCs/>
          <w:color w:val="1F3864"/>
          <w:sz w:val="30"/>
          <w:szCs w:val="30"/>
        </w:rPr>
        <w:t xml:space="preserve">6. Activities Performed</w:t>
      </w:r>
    </w:p>
    <w:p>
      <w:pPr>
        <w:pStyle w:val="Heading2"/>
        <w:spacing w:after="120" w:before="280"/>
      </w:pPr>
      <w:r>
        <w:rPr>
          <w:b/>
          <w:bCs/>
          <w:color w:val="2E75B6"/>
          <w:sz w:val="25"/>
          <w:szCs w:val="25"/>
        </w:rPr>
        <w:t xml:space="preserve">6.1 Module 1 — Footprinting with Multiple Kali Linux Tools</w:t>
      </w:r>
    </w:p>
    <w:p>
      <w:pPr>
        <w:spacing w:after="160" w:line="276"/>
      </w:pPr>
      <w:r>
        <w:rPr>
          <w:sz w:val="22"/>
          <w:szCs w:val="22"/>
        </w:rPr>
        <w:t xml:space="preserve">Target: networkwalks.com. Six built-in Kali Linux tools were used to build a public information profile of the domain before any active scanning was attempted.</w:t>
      </w:r>
    </w:p>
    <w:p>
      <w:pPr>
        <w:pStyle w:val="Heading3"/>
        <w:spacing w:after="100" w:before="200"/>
      </w:pPr>
      <w:r>
        <w:rPr>
          <w:b/>
          <w:bCs/>
          <w:color w:val="333333"/>
          <w:sz w:val="22"/>
          <w:szCs w:val="22"/>
        </w:rPr>
        <w:t xml:space="preserve">6.1.1 WHOIS — Domain Registration Lookup</w:t>
      </w:r>
    </w:p>
    <w:p>
      <w:pPr>
        <w:spacing w:after="160" w:line="276"/>
      </w:pPr>
      <w:r>
        <w:rPr>
          <w:sz w:val="22"/>
          <w:szCs w:val="22"/>
        </w:rPr>
        <w:t xml:space="preserve">Command executed:</w:t>
      </w:r>
    </w:p>
    <w:p>
      <w:pPr>
        <w:pBdr>
          <w:top w:val="single" w:color="30363D" w:sz="4" w:space="4"/>
          <w:bottom w:val="single" w:color="30363D" w:sz="4" w:space="4"/>
          <w:left w:val="single" w:color="30363D" w:sz="4" w:space="4"/>
          <w:right w:val="single" w:color="30363D" w:sz="4" w:space="4"/>
        </w:pBdr>
        <w:shd w:fill="0D1117" w:val="clear"/>
        <w:spacing w:after="160" w:before="80"/>
        <w:ind w:left="200" w:right="200"/>
      </w:pPr>
      <w:r>
        <w:rPr>
          <w:rFonts w:ascii="Consolas" w:cs="Consolas" w:eastAsia="Consolas" w:hAnsi="Consolas"/>
          <w:color w:val="58D68D"/>
          <w:sz w:val="20"/>
          <w:szCs w:val="20"/>
        </w:rPr>
        <w:t xml:space="preserve">$ whois networkwalks.com</w:t>
      </w:r>
    </w:p>
    <w:p>
      <w:pPr>
        <w:spacing w:after="160" w:line="276"/>
      </w:pPr>
      <w:r>
        <w:rPr>
          <w:sz w:val="22"/>
          <w:szCs w:val="22"/>
        </w:rPr>
        <w:t xml:space="preserve">Result: the domain is registered through GoDaddy.com, LLC (IANA ID 146), originally created on 6 November 2019 and currently set to expire on 6 November 2027, last updated 12 November 2025. Registrant, admin and technical contact details are masked behind privacy protection (Domains By Proxy, LLC, Tempe, Arizona). Authoritative name servers are NS6135.HOSTGATOR.COM and NS6136.HOSTGATOR.COM (with NS29/NS30.DOMAINCONTROL.COM also listed by the registrar's own WHOIS server), and DNSSEC is unsigned.</w:t>
      </w:r>
    </w:p>
    <w:p>
      <w:pPr>
        <w:spacing w:after="60" w:before="160"/>
        <w:jc w:val="center"/>
      </w:pPr>
      <w:r>
        <w:drawing>
          <wp:inline distT="0" distB="0" distL="0" distR="0">
            <wp:extent cx="4210050" cy="626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6267450"/>
                    </a:xfrm>
                    <a:prstGeom prst="rect">
                      <a:avLst/>
                    </a:prstGeom>
                  </pic:spPr>
                </pic:pic>
              </a:graphicData>
            </a:graphic>
          </wp:inline>
        </w:drawing>
      </w:r>
    </w:p>
    <w:p>
      <w:pPr>
        <w:spacing w:after="260" w:before="60"/>
        <w:jc w:val="center"/>
      </w:pPr>
      <w:r>
        <w:rPr>
          <w:i/>
          <w:iCs/>
          <w:color w:val="595959"/>
          <w:sz w:val="18"/>
          <w:szCs w:val="18"/>
        </w:rPr>
        <w:t xml:space="preserve">Figure 1 – WHOIS lookup for networkwalks.com</w:t>
      </w:r>
    </w:p>
    <w:p>
      <w:pPr>
        <w:spacing w:after="160" w:line="276"/>
      </w:pPr>
      <w:r>
        <w:rPr>
          <w:b/>
          <w:bCs/>
        </w:rPr>
        <w:t xml:space="preserve">Attacker's perspective: </w:t>
      </w:r>
      <w:r>
        <w:t xml:space="preserve">WHOIS instantly reveals the hosting provider (HostGator), confirming the site is hosted on shared/reseller infrastructure. Registration and expiry dates, plus the abuse contact, support domain-hijacking and social-engineering reconnaissance even when the registrant identity itself is privacy-shielded.</w:t>
      </w:r>
    </w:p>
    <w:p>
      <w:pPr>
        <w:pStyle w:val="Heading3"/>
        <w:spacing w:after="100" w:before="200"/>
      </w:pPr>
      <w:r>
        <w:rPr>
          <w:b/>
          <w:bCs/>
          <w:color w:val="333333"/>
          <w:sz w:val="22"/>
          <w:szCs w:val="22"/>
        </w:rPr>
        <w:t xml:space="preserve">6.1.2 WhatWeb — Web Technology Fingerprinting</w:t>
      </w:r>
    </w:p>
    <w:p>
      <w:pPr>
        <w:pBdr>
          <w:top w:val="single" w:color="30363D" w:sz="4" w:space="4"/>
          <w:bottom w:val="single" w:color="30363D" w:sz="4" w:space="4"/>
          <w:left w:val="single" w:color="30363D" w:sz="4" w:space="4"/>
          <w:right w:val="single" w:color="30363D" w:sz="4" w:space="4"/>
        </w:pBdr>
        <w:shd w:fill="0D1117" w:val="clear"/>
        <w:spacing w:after="160" w:before="80"/>
        <w:ind w:left="200" w:right="200"/>
      </w:pPr>
      <w:r>
        <w:rPr>
          <w:rFonts w:ascii="Consolas" w:cs="Consolas" w:eastAsia="Consolas" w:hAnsi="Consolas"/>
          <w:color w:val="58D68D"/>
          <w:sz w:val="20"/>
          <w:szCs w:val="20"/>
        </w:rPr>
        <w:t xml:space="preserve">$ whatweb networkwalks.com</w:t>
      </w:r>
    </w:p>
    <w:p>
      <w:pPr>
        <w:spacing w:after="160" w:line="276"/>
      </w:pPr>
      <w:r>
        <w:rPr>
          <w:sz w:val="22"/>
          <w:szCs w:val="22"/>
        </w:rPr>
        <w:t xml:space="preserve">Result: the site runs on Apache, powered by WordPress 7.0.4 with the WP Download Manager 3.3.58 plugin, jQuery 3.7.1 and Bootstrap components. The scan also confirmed the server IP address (192.232.216.135), an exposed contact email (info@networkwalks.com), and a Google Tag Manager integration, together with several uncommon HTTP response headers.</w:t>
      </w:r>
    </w:p>
    <w:p>
      <w:pPr>
        <w:spacing w:after="60" w:before="160"/>
        <w:jc w:val="center"/>
      </w:pPr>
      <w:r>
        <w:drawing>
          <wp:inline distT="0" distB="0" distL="0" distR="0">
            <wp:extent cx="54864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485900"/>
                    </a:xfrm>
                    <a:prstGeom prst="rect">
                      <a:avLst/>
                    </a:prstGeom>
                  </pic:spPr>
                </pic:pic>
              </a:graphicData>
            </a:graphic>
          </wp:inline>
        </w:drawing>
      </w:r>
    </w:p>
    <w:p>
      <w:pPr>
        <w:spacing w:after="260" w:before="60"/>
        <w:jc w:val="center"/>
      </w:pPr>
      <w:r>
        <w:rPr>
          <w:i/>
          <w:iCs/>
          <w:color w:val="595959"/>
          <w:sz w:val="18"/>
          <w:szCs w:val="18"/>
        </w:rPr>
        <w:t xml:space="preserve">Figure 2 – WhatWeb technology fingerprint of networkwalks.com</w:t>
      </w:r>
    </w:p>
    <w:p>
      <w:pPr>
        <w:spacing w:after="160" w:line="276"/>
      </w:pPr>
      <w:r>
        <w:rPr>
          <w:b/>
          <w:bCs/>
        </w:rPr>
        <w:t xml:space="preserve">Attacker's perspective: </w:t>
      </w:r>
      <w:r>
        <w:t xml:space="preserve">exact CMS and plugin version numbers (WordPress 7.0.4, WP Download Manager 3.3.58) let an attacker cross-reference public vulnerability databases (e.g. CVE/WPScan) for known exploits affecting those specific versions, without ever needing to log in or brute-force anything.</w:t>
      </w:r>
    </w:p>
    <w:p>
      <w:pPr>
        <w:pStyle w:val="Heading3"/>
        <w:spacing w:after="100" w:before="200"/>
      </w:pPr>
      <w:r>
        <w:rPr>
          <w:b/>
          <w:bCs/>
          <w:color w:val="333333"/>
          <w:sz w:val="22"/>
          <w:szCs w:val="22"/>
        </w:rPr>
        <w:t xml:space="preserve">6.1.3 Nslookup — DNS Resolution</w:t>
      </w:r>
    </w:p>
    <w:p>
      <w:pPr>
        <w:pBdr>
          <w:top w:val="single" w:color="30363D" w:sz="4" w:space="4"/>
          <w:bottom w:val="single" w:color="30363D" w:sz="4" w:space="4"/>
          <w:left w:val="single" w:color="30363D" w:sz="4" w:space="4"/>
          <w:right w:val="single" w:color="30363D" w:sz="4" w:space="4"/>
        </w:pBdr>
        <w:shd w:fill="0D1117" w:val="clear"/>
        <w:spacing w:after="160" w:before="80"/>
        <w:ind w:left="200" w:right="200"/>
      </w:pPr>
      <w:r>
        <w:rPr>
          <w:rFonts w:ascii="Consolas" w:cs="Consolas" w:eastAsia="Consolas" w:hAnsi="Consolas"/>
          <w:color w:val="58D68D"/>
          <w:sz w:val="20"/>
          <w:szCs w:val="20"/>
        </w:rPr>
        <w:t xml:space="preserve">$ nslookup networkwalks.com</w:t>
      </w:r>
    </w:p>
    <w:p>
      <w:pPr>
        <w:spacing w:after="160" w:line="276"/>
      </w:pPr>
      <w:r>
        <w:rPr>
          <w:sz w:val="22"/>
          <w:szCs w:val="22"/>
        </w:rPr>
        <w:t xml:space="preserve">Result: the domain resolved to IP address 192.232.216.135 via the resolver at 192.168.1.1 (the default gateway acted as a forwarding resolver after the upstream 8.8.8.8 server did not return a recursive answer).</w:t>
      </w:r>
    </w:p>
    <w:p>
      <w:pPr>
        <w:spacing w:after="60" w:before="160"/>
        <w:jc w:val="center"/>
      </w:pPr>
      <w:r>
        <w:drawing>
          <wp:inline distT="0" distB="0" distL="0" distR="0">
            <wp:extent cx="54864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1314450"/>
                    </a:xfrm>
                    <a:prstGeom prst="rect">
                      <a:avLst/>
                    </a:prstGeom>
                  </pic:spPr>
                </pic:pic>
              </a:graphicData>
            </a:graphic>
          </wp:inline>
        </w:drawing>
      </w:r>
    </w:p>
    <w:p>
      <w:pPr>
        <w:spacing w:after="260" w:before="60"/>
        <w:jc w:val="center"/>
      </w:pPr>
      <w:r>
        <w:rPr>
          <w:i/>
          <w:iCs/>
          <w:color w:val="595959"/>
          <w:sz w:val="18"/>
          <w:szCs w:val="18"/>
        </w:rPr>
        <w:t xml:space="preserve">Figure 3 – Nslookup resolution of networkwalks.com</w:t>
      </w:r>
    </w:p>
    <w:p>
      <w:pPr>
        <w:spacing w:after="160" w:line="276"/>
      </w:pPr>
      <w:r>
        <w:rPr>
          <w:b/>
          <w:bCs/>
        </w:rPr>
        <w:t xml:space="preserve">Attacker's perspective: </w:t>
      </w:r>
      <w:r>
        <w:t xml:space="preserve">knowing the real IP address allows direct port scanning of the host, reverse-IP lookups to discover other sites sharing the same server, and geolocation of the hosting infrastructure.</w:t>
      </w:r>
    </w:p>
    <w:p>
      <w:pPr>
        <w:pStyle w:val="Heading3"/>
        <w:spacing w:after="100" w:before="200"/>
      </w:pPr>
      <w:r>
        <w:rPr>
          <w:b/>
          <w:bCs/>
          <w:color w:val="333333"/>
          <w:sz w:val="22"/>
          <w:szCs w:val="22"/>
        </w:rPr>
        <w:t xml:space="preserve">6.1.4 Curl -I — HTTP Response Headers</w:t>
      </w:r>
    </w:p>
    <w:p>
      <w:pPr>
        <w:pBdr>
          <w:top w:val="single" w:color="30363D" w:sz="4" w:space="4"/>
          <w:bottom w:val="single" w:color="30363D" w:sz="4" w:space="4"/>
          <w:left w:val="single" w:color="30363D" w:sz="4" w:space="4"/>
          <w:right w:val="single" w:color="30363D" w:sz="4" w:space="4"/>
        </w:pBdr>
        <w:shd w:fill="0D1117" w:val="clear"/>
        <w:spacing w:after="160" w:before="80"/>
        <w:ind w:left="200" w:right="200"/>
      </w:pPr>
      <w:r>
        <w:rPr>
          <w:rFonts w:ascii="Consolas" w:cs="Consolas" w:eastAsia="Consolas" w:hAnsi="Consolas"/>
          <w:color w:val="58D68D"/>
          <w:sz w:val="20"/>
          <w:szCs w:val="20"/>
        </w:rPr>
        <w:t xml:space="preserve">$ curl -I networkwalks.com</w:t>
      </w:r>
    </w:p>
    <w:p>
      <w:pPr>
        <w:spacing w:after="160" w:line="276"/>
      </w:pPr>
      <w:r>
        <w:rPr>
          <w:sz w:val="22"/>
          <w:szCs w:val="22"/>
        </w:rPr>
        <w:t xml:space="preserve">Result: the server returned a 301 redirect from HTTP to HTTPS. Notable headers included Server: Apache, X-Redirect-By: WordPress – Really Simple Security (confirming the security plugin in use), a __wpdm_client session cookie, HTTP/2 upgrade support, and caching headers (X-Endurance-Cache-Level, X-nginx-cache) that point to a caching/CDN layer in front of the origin server.</w:t>
      </w:r>
    </w:p>
    <w:p>
      <w:pPr>
        <w:spacing w:after="60" w:before="160"/>
        <w:jc w:val="center"/>
      </w:pPr>
      <w:r>
        <w:drawing>
          <wp:inline distT="0" distB="0" distL="0" distR="0">
            <wp:extent cx="54864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638550"/>
                    </a:xfrm>
                    <a:prstGeom prst="rect">
                      <a:avLst/>
                    </a:prstGeom>
                  </pic:spPr>
                </pic:pic>
              </a:graphicData>
            </a:graphic>
          </wp:inline>
        </w:drawing>
      </w:r>
    </w:p>
    <w:p>
      <w:pPr>
        <w:spacing w:after="260" w:before="60"/>
        <w:jc w:val="center"/>
      </w:pPr>
      <w:r>
        <w:rPr>
          <w:i/>
          <w:iCs/>
          <w:color w:val="595959"/>
          <w:sz w:val="18"/>
          <w:szCs w:val="18"/>
        </w:rPr>
        <w:t xml:space="preserve">Figure 4 – HTTP response headers for networkwalks.com</w:t>
      </w:r>
    </w:p>
    <w:p>
      <w:pPr>
        <w:spacing w:after="160" w:line="276"/>
      </w:pPr>
      <w:r>
        <w:rPr>
          <w:b/>
          <w:bCs/>
        </w:rPr>
        <w:t xml:space="preserve">Attacker's perspective: </w:t>
      </w:r>
      <w:r>
        <w:t xml:space="preserve">HTTP headers leak the exact security plugin protecting the site (Really Simple Security) and the caching stack in front of it, both of which help an attacker fingerprint the technology stack and plan header-based bypass or cache-poisoning attempts without loading a single page of content.</w:t>
      </w:r>
    </w:p>
    <w:p>
      <w:pPr>
        <w:pStyle w:val="Heading3"/>
        <w:spacing w:after="100" w:before="200"/>
      </w:pPr>
      <w:r>
        <w:rPr>
          <w:b/>
          <w:bCs/>
          <w:color w:val="333333"/>
          <w:sz w:val="22"/>
          <w:szCs w:val="22"/>
        </w:rPr>
        <w:t xml:space="preserve">6.1.5 Wafw00f — Web Application Firewall Detection</w:t>
      </w:r>
    </w:p>
    <w:p>
      <w:pPr>
        <w:pBdr>
          <w:top w:val="single" w:color="30363D" w:sz="4" w:space="4"/>
          <w:bottom w:val="single" w:color="30363D" w:sz="4" w:space="4"/>
          <w:left w:val="single" w:color="30363D" w:sz="4" w:space="4"/>
          <w:right w:val="single" w:color="30363D" w:sz="4" w:space="4"/>
        </w:pBdr>
        <w:shd w:fill="0D1117" w:val="clear"/>
        <w:spacing w:after="160" w:before="80"/>
        <w:ind w:left="200" w:right="200"/>
      </w:pPr>
      <w:r>
        <w:rPr>
          <w:rFonts w:ascii="Consolas" w:cs="Consolas" w:eastAsia="Consolas" w:hAnsi="Consolas"/>
          <w:color w:val="58D68D"/>
          <w:sz w:val="20"/>
          <w:szCs w:val="20"/>
        </w:rPr>
        <w:t xml:space="preserve">$ wafw00f networkwalks.com</w:t>
      </w:r>
    </w:p>
    <w:p>
      <w:pPr>
        <w:spacing w:after="160" w:line="276"/>
      </w:pPr>
      <w:r>
        <w:rPr>
          <w:sz w:val="22"/>
          <w:szCs w:val="22"/>
        </w:rPr>
        <w:t xml:space="preserve">Result: the site is protected by ModSecurity (SpiderLabs), confirmed after two HTTP requests.</w:t>
      </w:r>
    </w:p>
    <w:p>
      <w:pPr>
        <w:spacing w:after="60" w:before="160"/>
        <w:jc w:val="center"/>
      </w:pPr>
      <w:r>
        <w:drawing>
          <wp:inline distT="0" distB="0" distL="0" distR="0">
            <wp:extent cx="54864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171825"/>
                    </a:xfrm>
                    <a:prstGeom prst="rect">
                      <a:avLst/>
                    </a:prstGeom>
                  </pic:spPr>
                </pic:pic>
              </a:graphicData>
            </a:graphic>
          </wp:inline>
        </w:drawing>
      </w:r>
    </w:p>
    <w:p>
      <w:pPr>
        <w:spacing w:after="260" w:before="60"/>
        <w:jc w:val="center"/>
      </w:pPr>
      <w:r>
        <w:rPr>
          <w:i/>
          <w:iCs/>
          <w:color w:val="595959"/>
          <w:sz w:val="18"/>
          <w:szCs w:val="18"/>
        </w:rPr>
        <w:t xml:space="preserve">Figure 5 – Wafw00f WAF fingerprint for networkwalks.com</w:t>
      </w:r>
    </w:p>
    <w:p>
      <w:pPr>
        <w:spacing w:after="160" w:line="276"/>
      </w:pPr>
      <w:r>
        <w:rPr>
          <w:b/>
          <w:bCs/>
        </w:rPr>
        <w:t xml:space="preserve">Attacker's perspective: </w:t>
      </w:r>
      <w:r>
        <w:t xml:space="preserve">identifying the exact WAF product lets an attacker research known bypass techniques and signature gaps specific to ModSecurity, and tune payloads to avoid triggering its default rule set.</w:t>
      </w:r>
    </w:p>
    <w:p>
      <w:pPr>
        <w:pStyle w:val="Heading3"/>
        <w:spacing w:after="100" w:before="200"/>
      </w:pPr>
      <w:r>
        <w:rPr>
          <w:b/>
          <w:bCs/>
          <w:color w:val="333333"/>
          <w:sz w:val="22"/>
          <w:szCs w:val="22"/>
        </w:rPr>
        <w:t xml:space="preserve">6.1.6 DNSrecon — DNS Record Enumeration</w:t>
      </w:r>
    </w:p>
    <w:p>
      <w:pPr>
        <w:pBdr>
          <w:top w:val="single" w:color="30363D" w:sz="4" w:space="4"/>
          <w:bottom w:val="single" w:color="30363D" w:sz="4" w:space="4"/>
          <w:left w:val="single" w:color="30363D" w:sz="4" w:space="4"/>
          <w:right w:val="single" w:color="30363D" w:sz="4" w:space="4"/>
        </w:pBdr>
        <w:shd w:fill="0D1117" w:val="clear"/>
        <w:spacing w:after="160" w:before="80"/>
        <w:ind w:left="200" w:right="200"/>
      </w:pPr>
      <w:r>
        <w:rPr>
          <w:rFonts w:ascii="Consolas" w:cs="Consolas" w:eastAsia="Consolas" w:hAnsi="Consolas"/>
          <w:color w:val="58D68D"/>
          <w:sz w:val="20"/>
          <w:szCs w:val="20"/>
        </w:rPr>
        <w:t xml:space="preserve">$ dnsrecon -d networkwalks.com</w:t>
      </w:r>
    </w:p>
    <w:p>
      <w:pPr>
        <w:spacing w:after="160" w:line="276"/>
      </w:pPr>
      <w:r>
        <w:rPr>
          <w:sz w:val="22"/>
          <w:szCs w:val="22"/>
        </w:rPr>
        <w:t xml:space="preserve">Result: DNSrecon enumerated 8 DNS records in total. Both authoritative name servers (ns6135/ns6136.hostgator.com) run BIND 9.16.23-RH. The MX record (mail.networkwalks.com) and A record both point to 192.232.216.135. A Google Search Console verification TXT record and an SPF record (v=spf1 +a +mx +ip4:50.87.144.87 +include:websitewelcome.com ~all) were found, along with 8 SRV records for _autodiscover._tcp pointing to cPanel's e-mail autodiscovery service across five different backend IP addresses. A DNSSEC query returned no answer and the SOA lookup via 8.8.8.8 timed out, confirming DNSSEC is not deployed.</w:t>
      </w:r>
    </w:p>
    <w:p>
      <w:pPr>
        <w:spacing w:after="60" w:before="160"/>
        <w:jc w:val="center"/>
      </w:pPr>
      <w:r>
        <w:drawing>
          <wp:inline distT="0" distB="0" distL="0" distR="0">
            <wp:extent cx="4933950"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5353050"/>
                    </a:xfrm>
                    <a:prstGeom prst="rect">
                      <a:avLst/>
                    </a:prstGeom>
                  </pic:spPr>
                </pic:pic>
              </a:graphicData>
            </a:graphic>
          </wp:inline>
        </w:drawing>
      </w:r>
    </w:p>
    <w:p>
      <w:pPr>
        <w:spacing w:after="260" w:before="60"/>
        <w:jc w:val="center"/>
      </w:pPr>
      <w:r>
        <w:rPr>
          <w:i/>
          <w:iCs/>
          <w:color w:val="595959"/>
          <w:sz w:val="18"/>
          <w:szCs w:val="18"/>
        </w:rPr>
        <w:t xml:space="preserve">Figure 6 – DNSrecon DNS enumeration of networkwalks.com</w:t>
      </w:r>
    </w:p>
    <w:p>
      <w:pPr>
        <w:spacing w:after="160" w:line="276"/>
      </w:pPr>
      <w:r>
        <w:rPr>
          <w:b/>
          <w:bCs/>
        </w:rPr>
        <w:t xml:space="preserve">Attacker's perspective: </w:t>
      </w:r>
      <w:r>
        <w:t xml:space="preserve">the exposed BIND version string aids version-specific DNS-server vulnerability research; the SPF record reveals the mail-sending infrastructure (websitewelcome.com/HostGator shared hosting) which is useful for planning phishing/spoofing tests; and the absence of DNSSEC means DNS responses for this domain are not cryptographically authenticated.</w:t>
      </w:r>
    </w:p>
    <w:p>
      <w:r>
        <w:br w:type="page"/>
      </w:r>
    </w:p>
    <w:p>
      <w:pPr>
        <w:pStyle w:val="Heading2"/>
        <w:spacing w:after="120" w:before="280"/>
      </w:pPr>
      <w:r>
        <w:rPr>
          <w:b/>
          <w:bCs/>
          <w:color w:val="2E75B6"/>
          <w:sz w:val="25"/>
          <w:szCs w:val="25"/>
        </w:rPr>
        <w:t xml:space="preserve">6.2 Module 2 — Footprinting with the Google Hacking Database (GHDB)</w:t>
      </w:r>
    </w:p>
    <w:p>
      <w:pPr>
        <w:spacing w:after="160" w:line="276"/>
      </w:pPr>
      <w:r>
        <w:rPr>
          <w:sz w:val="22"/>
          <w:szCs w:val="22"/>
        </w:rPr>
        <w:t xml:space="preserve">This module used advanced Google search operators ("Google dorks") drawn from the Google Hacking Database methodology to demonstrate how misconfigured or unintentionally exposed devices and files can be located using only a search engine — no direct connection to the target is required to find the listing itself.</w:t>
      </w:r>
    </w:p>
    <w:p>
      <w:pPr>
        <w:pStyle w:val="Heading3"/>
        <w:spacing w:after="100" w:before="200"/>
      </w:pPr>
      <w:r>
        <w:rPr>
          <w:b/>
          <w:bCs/>
          <w:color w:val="333333"/>
          <w:sz w:val="22"/>
          <w:szCs w:val="22"/>
        </w:rPr>
        <w:t xml:space="preserve">6.2.1 Task 1 — Exposed / Live Security Cameras</w:t>
      </w:r>
    </w:p>
    <w:p>
      <w:pPr>
        <w:spacing w:after="160" w:line="276"/>
      </w:pPr>
      <w:r>
        <w:rPr>
          <w:sz w:val="22"/>
          <w:szCs w:val="22"/>
        </w:rPr>
        <w:t xml:space="preserve">Objective: locate 10 live security-camera web interfaces that are directly reachable from the internet, using dorks such as intitle:"webcamXP" inurl:8080, inurl:/multi.html intitle:webcam, intitle:"webcamxp" "Flash JPEG Stream", intitle:"NetCamXL*" and intitle:"NetCamSC*".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200"/>
        <w:gridCol w:w="2188"/>
      </w:tblGrid>
      <w:tr>
        <w:tc>
          <w:tcPr>
            <w:shd w:fill="1F3864" w:val="clear"/>
            <w:tcMar>
              <w:top w:type="dxa" w:w="100"/>
              <w:left w:type="dxa" w:w="120"/>
              <w:bottom w:type="dxa" w:w="100"/>
              <w:right w:type="dxa" w:w="120"/>
            </w:tcMar>
            <w:vAlign w:val="center"/>
          </w:tcPr>
          <w:p>
            <w:r>
              <w:rPr>
                <w:b/>
                <w:bCs/>
                <w:color w:val="FFFFFF"/>
                <w:sz w:val="20"/>
                <w:szCs w:val="20"/>
              </w:rPr>
              <w:t xml:space="preserve">#</w:t>
            </w:r>
          </w:p>
        </w:tc>
        <w:tc>
          <w:tcPr>
            <w:shd w:fill="1F3864" w:val="clear"/>
            <w:tcMar>
              <w:top w:type="dxa" w:w="100"/>
              <w:left w:type="dxa" w:w="120"/>
              <w:bottom w:type="dxa" w:w="100"/>
              <w:right w:type="dxa" w:w="120"/>
            </w:tcMar>
            <w:vAlign w:val="center"/>
          </w:tcPr>
          <w:p>
            <w:r>
              <w:rPr>
                <w:b/>
                <w:bCs/>
                <w:color w:val="FFFFFF"/>
                <w:sz w:val="20"/>
                <w:szCs w:val="20"/>
              </w:rPr>
              <w:t xml:space="preserve">Host : Port</w:t>
            </w:r>
          </w:p>
        </w:tc>
        <w:tc>
          <w:tcPr>
            <w:shd w:fill="1F3864" w:val="clear"/>
            <w:tcMar>
              <w:top w:type="dxa" w:w="100"/>
              <w:left w:type="dxa" w:w="120"/>
              <w:bottom w:type="dxa" w:w="100"/>
              <w:right w:type="dxa" w:w="120"/>
            </w:tcMar>
            <w:vAlign w:val="center"/>
          </w:tcPr>
          <w:p>
            <w:r>
              <w:rPr>
                <w:b/>
                <w:bCs/>
                <w:color w:val="FFFFFF"/>
                <w:sz w:val="20"/>
                <w:szCs w:val="20"/>
              </w:rPr>
              <w:t xml:space="preserve">Dork Used</w:t>
            </w:r>
          </w:p>
        </w:tc>
        <w:tc>
          <w:tcPr>
            <w:shd w:fill="1F3864" w:val="clear"/>
            <w:tcMar>
              <w:top w:type="dxa" w:w="100"/>
              <w:left w:type="dxa" w:w="120"/>
              <w:bottom w:type="dxa" w:w="100"/>
              <w:right w:type="dxa" w:w="120"/>
            </w:tcMar>
            <w:vAlign w:val="center"/>
          </w:tcPr>
          <w:p>
            <w:r>
              <w:rPr>
                <w:b/>
                <w:bCs/>
                <w:color w:val="FFFFFF"/>
                <w:sz w:val="20"/>
                <w:szCs w:val="20"/>
              </w:rPr>
              <w:t xml:space="preserve">Credentials</w:t>
            </w:r>
          </w:p>
        </w:tc>
      </w:tr>
      <w:tr>
        <w:tc>
          <w:tcPr>
            <w:tcMar>
              <w:top w:type="dxa" w:w="100"/>
              <w:left w:type="dxa" w:w="120"/>
              <w:bottom w:type="dxa" w:w="100"/>
              <w:right w:type="dxa" w:w="120"/>
            </w:tcMar>
            <w:vAlign w:val="center"/>
          </w:tcPr>
          <w:p>
            <w:pPr>
              <w:spacing w:after="160" w:line="276"/>
            </w:pPr>
            <w:r>
              <w:rPr>
                <w:sz w:val="22"/>
                <w:szCs w:val="22"/>
              </w:rPr>
              <w:t xml:space="preserve">1</w:t>
            </w:r>
          </w:p>
        </w:tc>
        <w:tc>
          <w:tcPr>
            <w:tcMar>
              <w:top w:type="dxa" w:w="100"/>
              <w:left w:type="dxa" w:w="120"/>
              <w:bottom w:type="dxa" w:w="100"/>
              <w:right w:type="dxa" w:w="120"/>
            </w:tcMar>
            <w:vAlign w:val="center"/>
          </w:tcPr>
          <w:p>
            <w:pPr>
              <w:spacing w:after="160" w:line="276"/>
            </w:pPr>
            <w:r>
              <w:rPr>
                <w:sz w:val="22"/>
                <w:szCs w:val="22"/>
              </w:rPr>
              <w:t xml:space="preserve">109.233.191.130:8080</w:t>
            </w:r>
          </w:p>
        </w:tc>
        <w:tc>
          <w:tcPr>
            <w:tcMar>
              <w:top w:type="dxa" w:w="100"/>
              <w:left w:type="dxa" w:w="120"/>
              <w:bottom w:type="dxa" w:w="100"/>
              <w:right w:type="dxa" w:w="120"/>
            </w:tcMar>
            <w:vAlign w:val="center"/>
          </w:tcPr>
          <w:p>
            <w:pPr>
              <w:spacing w:after="160" w:line="276"/>
            </w:pPr>
            <w:r>
              <w:rPr>
                <w:sz w:val="22"/>
                <w:szCs w:val="22"/>
              </w:rPr>
              <w:t xml:space="preserve">intitle:"webcamXP" inurl:8080</w:t>
            </w:r>
          </w:p>
        </w:tc>
        <w:tc>
          <w:tcPr>
            <w:tcMar>
              <w:top w:type="dxa" w:w="100"/>
              <w:left w:type="dxa" w:w="120"/>
              <w:bottom w:type="dxa" w:w="100"/>
              <w:right w:type="dxa" w:w="120"/>
            </w:tcMar>
            <w:vAlign w:val="center"/>
          </w:tcPr>
          <w:p>
            <w:pPr>
              <w:spacing w:after="160" w:line="276"/>
            </w:pPr>
            <w:r>
              <w:rPr>
                <w:sz w:val="22"/>
                <w:szCs w:val="22"/>
              </w:rPr>
              <w:t xml:space="preserve">None captured</w:t>
            </w:r>
          </w:p>
        </w:tc>
      </w:tr>
      <w:tr>
        <w:tc>
          <w:tcPr>
            <w:tcMar>
              <w:top w:type="dxa" w:w="100"/>
              <w:left w:type="dxa" w:w="120"/>
              <w:bottom w:type="dxa" w:w="100"/>
              <w:right w:type="dxa" w:w="120"/>
            </w:tcMar>
            <w:vAlign w:val="center"/>
          </w:tcPr>
          <w:p>
            <w:pPr>
              <w:spacing w:after="160" w:line="276"/>
            </w:pPr>
            <w:r>
              <w:rPr>
                <w:sz w:val="22"/>
                <w:szCs w:val="22"/>
              </w:rPr>
              <w:t xml:space="preserve">2</w:t>
            </w:r>
          </w:p>
        </w:tc>
        <w:tc>
          <w:tcPr>
            <w:tcMar>
              <w:top w:type="dxa" w:w="100"/>
              <w:left w:type="dxa" w:w="120"/>
              <w:bottom w:type="dxa" w:w="100"/>
              <w:right w:type="dxa" w:w="120"/>
            </w:tcMar>
            <w:vAlign w:val="center"/>
          </w:tcPr>
          <w:p>
            <w:pPr>
              <w:spacing w:after="160" w:line="276"/>
            </w:pPr>
            <w:r>
              <w:rPr>
                <w:sz w:val="22"/>
                <w:szCs w:val="22"/>
              </w:rPr>
              <w:t xml:space="preserve">68.115.218.130:32479</w:t>
            </w:r>
          </w:p>
        </w:tc>
        <w:tc>
          <w:tcPr>
            <w:tcMar>
              <w:top w:type="dxa" w:w="100"/>
              <w:left w:type="dxa" w:w="120"/>
              <w:bottom w:type="dxa" w:w="100"/>
              <w:right w:type="dxa" w:w="120"/>
            </w:tcMar>
            <w:vAlign w:val="center"/>
          </w:tcPr>
          <w:p>
            <w:pPr>
              <w:spacing w:after="160" w:line="276"/>
            </w:pPr>
            <w:r>
              <w:rPr>
                <w:sz w:val="22"/>
                <w:szCs w:val="22"/>
              </w:rPr>
              <w:t xml:space="preserve">inurl:/multi.html intitle:webcam</w:t>
            </w:r>
          </w:p>
        </w:tc>
        <w:tc>
          <w:tcPr>
            <w:tcMar>
              <w:top w:type="dxa" w:w="100"/>
              <w:left w:type="dxa" w:w="120"/>
              <w:bottom w:type="dxa" w:w="100"/>
              <w:right w:type="dxa" w:w="120"/>
            </w:tcMar>
            <w:vAlign w:val="center"/>
          </w:tcPr>
          <w:p>
            <w:pPr>
              <w:spacing w:after="160" w:line="276"/>
            </w:pPr>
            <w:r>
              <w:rPr>
                <w:sz w:val="22"/>
                <w:szCs w:val="22"/>
              </w:rPr>
              <w:t xml:space="preserve">None captured</w:t>
            </w:r>
          </w:p>
        </w:tc>
      </w:tr>
      <w:tr>
        <w:tc>
          <w:tcPr>
            <w:tcMar>
              <w:top w:type="dxa" w:w="100"/>
              <w:left w:type="dxa" w:w="120"/>
              <w:bottom w:type="dxa" w:w="100"/>
              <w:right w:type="dxa" w:w="120"/>
            </w:tcMar>
            <w:vAlign w:val="center"/>
          </w:tcPr>
          <w:p>
            <w:pPr>
              <w:spacing w:after="160" w:line="276"/>
            </w:pPr>
            <w:r>
              <w:rPr>
                <w:sz w:val="22"/>
                <w:szCs w:val="22"/>
              </w:rPr>
              <w:t xml:space="preserve">3</w:t>
            </w:r>
          </w:p>
        </w:tc>
        <w:tc>
          <w:tcPr>
            <w:tcMar>
              <w:top w:type="dxa" w:w="100"/>
              <w:left w:type="dxa" w:w="120"/>
              <w:bottom w:type="dxa" w:w="100"/>
              <w:right w:type="dxa" w:w="120"/>
            </w:tcMar>
            <w:vAlign w:val="center"/>
          </w:tcPr>
          <w:p>
            <w:pPr>
              <w:spacing w:after="160" w:line="276"/>
            </w:pPr>
            <w:r>
              <w:rPr>
                <w:sz w:val="22"/>
                <w:szCs w:val="22"/>
              </w:rPr>
              <w:t xml:space="preserve">109.206.96.249:8080</w:t>
            </w:r>
          </w:p>
        </w:tc>
        <w:tc>
          <w:tcPr>
            <w:tcMar>
              <w:top w:type="dxa" w:w="100"/>
              <w:left w:type="dxa" w:w="120"/>
              <w:bottom w:type="dxa" w:w="100"/>
              <w:right w:type="dxa" w:w="120"/>
            </w:tcMar>
            <w:vAlign w:val="center"/>
          </w:tcPr>
          <w:p>
            <w:pPr>
              <w:spacing w:after="160" w:line="276"/>
            </w:pPr>
            <w:r>
              <w:rPr>
                <w:sz w:val="22"/>
                <w:szCs w:val="22"/>
              </w:rPr>
              <w:t xml:space="preserve">inurl:/multi.html intitle:webcam</w:t>
            </w:r>
          </w:p>
        </w:tc>
        <w:tc>
          <w:tcPr>
            <w:tcMar>
              <w:top w:type="dxa" w:w="100"/>
              <w:left w:type="dxa" w:w="120"/>
              <w:bottom w:type="dxa" w:w="100"/>
              <w:right w:type="dxa" w:w="120"/>
            </w:tcMar>
            <w:vAlign w:val="center"/>
          </w:tcPr>
          <w:p>
            <w:pPr>
              <w:spacing w:after="160" w:line="276"/>
            </w:pPr>
            <w:r>
              <w:rPr>
                <w:sz w:val="22"/>
                <w:szCs w:val="22"/>
              </w:rPr>
              <w:t xml:space="preserve">None captured</w:t>
            </w:r>
          </w:p>
        </w:tc>
      </w:tr>
      <w:tr>
        <w:tc>
          <w:tcPr>
            <w:tcMar>
              <w:top w:type="dxa" w:w="100"/>
              <w:left w:type="dxa" w:w="120"/>
              <w:bottom w:type="dxa" w:w="100"/>
              <w:right w:type="dxa" w:w="120"/>
            </w:tcMar>
            <w:vAlign w:val="center"/>
          </w:tcPr>
          <w:p>
            <w:pPr>
              <w:spacing w:after="160" w:line="276"/>
            </w:pPr>
            <w:r>
              <w:rPr>
                <w:sz w:val="22"/>
                <w:szCs w:val="22"/>
              </w:rPr>
              <w:t xml:space="preserve">4</w:t>
            </w:r>
          </w:p>
        </w:tc>
        <w:tc>
          <w:tcPr>
            <w:tcMar>
              <w:top w:type="dxa" w:w="100"/>
              <w:left w:type="dxa" w:w="120"/>
              <w:bottom w:type="dxa" w:w="100"/>
              <w:right w:type="dxa" w:w="120"/>
            </w:tcMar>
            <w:vAlign w:val="center"/>
          </w:tcPr>
          <w:p>
            <w:pPr>
              <w:spacing w:after="160" w:line="276"/>
            </w:pPr>
            <w:r>
              <w:rPr>
                <w:sz w:val="22"/>
                <w:szCs w:val="22"/>
              </w:rPr>
              <w:t xml:space="preserve">72.199.200.5:8080</w:t>
            </w:r>
          </w:p>
        </w:tc>
        <w:tc>
          <w:tcPr>
            <w:tcMar>
              <w:top w:type="dxa" w:w="100"/>
              <w:left w:type="dxa" w:w="120"/>
              <w:bottom w:type="dxa" w:w="100"/>
              <w:right w:type="dxa" w:w="120"/>
            </w:tcMar>
            <w:vAlign w:val="center"/>
          </w:tcPr>
          <w:p>
            <w:pPr>
              <w:spacing w:after="160" w:line="276"/>
            </w:pPr>
            <w:r>
              <w:rPr>
                <w:sz w:val="22"/>
                <w:szCs w:val="22"/>
              </w:rPr>
              <w:t xml:space="preserve">intitle:"webcamxp" "Flash JPEG Stream"</w:t>
            </w:r>
          </w:p>
        </w:tc>
        <w:tc>
          <w:tcPr>
            <w:tcMar>
              <w:top w:type="dxa" w:w="100"/>
              <w:left w:type="dxa" w:w="120"/>
              <w:bottom w:type="dxa" w:w="100"/>
              <w:right w:type="dxa" w:w="120"/>
            </w:tcMar>
            <w:vAlign w:val="center"/>
          </w:tcPr>
          <w:p>
            <w:pPr>
              <w:spacing w:after="160" w:line="276"/>
            </w:pPr>
            <w:r>
              <w:rPr>
                <w:sz w:val="22"/>
                <w:szCs w:val="22"/>
              </w:rPr>
              <w:t xml:space="preserve">None captured</w:t>
            </w:r>
          </w:p>
        </w:tc>
      </w:tr>
      <w:tr>
        <w:tc>
          <w:tcPr>
            <w:tcMar>
              <w:top w:type="dxa" w:w="100"/>
              <w:left w:type="dxa" w:w="120"/>
              <w:bottom w:type="dxa" w:w="100"/>
              <w:right w:type="dxa" w:w="120"/>
            </w:tcMar>
            <w:vAlign w:val="center"/>
          </w:tcPr>
          <w:p>
            <w:pPr>
              <w:spacing w:after="160" w:line="276"/>
            </w:pPr>
            <w:r>
              <w:rPr>
                <w:sz w:val="22"/>
                <w:szCs w:val="22"/>
              </w:rPr>
              <w:t xml:space="preserve">5</w:t>
            </w:r>
          </w:p>
        </w:tc>
        <w:tc>
          <w:tcPr>
            <w:tcMar>
              <w:top w:type="dxa" w:w="100"/>
              <w:left w:type="dxa" w:w="120"/>
              <w:bottom w:type="dxa" w:w="100"/>
              <w:right w:type="dxa" w:w="120"/>
            </w:tcMar>
            <w:vAlign w:val="center"/>
          </w:tcPr>
          <w:p>
            <w:pPr>
              <w:spacing w:after="160" w:line="276"/>
            </w:pPr>
            <w:r>
              <w:rPr>
                <w:sz w:val="22"/>
                <w:szCs w:val="22"/>
              </w:rPr>
              <w:t xml:space="preserve">139.64.168.120:8080</w:t>
            </w:r>
          </w:p>
        </w:tc>
        <w:tc>
          <w:tcPr>
            <w:tcMar>
              <w:top w:type="dxa" w:w="100"/>
              <w:left w:type="dxa" w:w="120"/>
              <w:bottom w:type="dxa" w:w="100"/>
              <w:right w:type="dxa" w:w="120"/>
            </w:tcMar>
            <w:vAlign w:val="center"/>
          </w:tcPr>
          <w:p>
            <w:pPr>
              <w:spacing w:after="160" w:line="276"/>
            </w:pPr>
            <w:r>
              <w:rPr>
                <w:sz w:val="22"/>
                <w:szCs w:val="22"/>
              </w:rPr>
              <w:t xml:space="preserve">intitle:"webcamxp" "Flash JPEG Stream"</w:t>
            </w:r>
          </w:p>
        </w:tc>
        <w:tc>
          <w:tcPr>
            <w:tcMar>
              <w:top w:type="dxa" w:w="100"/>
              <w:left w:type="dxa" w:w="120"/>
              <w:bottom w:type="dxa" w:w="100"/>
              <w:right w:type="dxa" w:w="120"/>
            </w:tcMar>
            <w:vAlign w:val="center"/>
          </w:tcPr>
          <w:p>
            <w:pPr>
              <w:spacing w:after="160" w:line="276"/>
            </w:pPr>
            <w:r>
              <w:rPr>
                <w:sz w:val="22"/>
                <w:szCs w:val="22"/>
              </w:rPr>
              <w:t xml:space="preserve">None captured</w:t>
            </w:r>
          </w:p>
        </w:tc>
      </w:tr>
      <w:tr>
        <w:tc>
          <w:tcPr>
            <w:tcMar>
              <w:top w:type="dxa" w:w="100"/>
              <w:left w:type="dxa" w:w="120"/>
              <w:bottom w:type="dxa" w:w="100"/>
              <w:right w:type="dxa" w:w="120"/>
            </w:tcMar>
            <w:vAlign w:val="center"/>
          </w:tcPr>
          <w:p>
            <w:pPr>
              <w:spacing w:after="160" w:line="276"/>
            </w:pPr>
            <w:r>
              <w:rPr>
                <w:sz w:val="22"/>
                <w:szCs w:val="22"/>
              </w:rPr>
              <w:t xml:space="preserve">6</w:t>
            </w:r>
          </w:p>
        </w:tc>
        <w:tc>
          <w:tcPr>
            <w:tcMar>
              <w:top w:type="dxa" w:w="100"/>
              <w:left w:type="dxa" w:w="120"/>
              <w:bottom w:type="dxa" w:w="100"/>
              <w:right w:type="dxa" w:w="120"/>
            </w:tcMar>
            <w:vAlign w:val="center"/>
          </w:tcPr>
          <w:p>
            <w:pPr>
              <w:spacing w:after="160" w:line="276"/>
            </w:pPr>
            <w:r>
              <w:rPr>
                <w:sz w:val="22"/>
                <w:szCs w:val="22"/>
              </w:rPr>
              <w:t xml:space="preserve">75.149.26.30:1024</w:t>
            </w:r>
          </w:p>
        </w:tc>
        <w:tc>
          <w:tcPr>
            <w:tcMar>
              <w:top w:type="dxa" w:w="100"/>
              <w:left w:type="dxa" w:w="120"/>
              <w:bottom w:type="dxa" w:w="100"/>
              <w:right w:type="dxa" w:w="120"/>
            </w:tcMar>
            <w:vAlign w:val="center"/>
          </w:tcPr>
          <w:p>
            <w:pPr>
              <w:spacing w:after="160" w:line="276"/>
            </w:pPr>
            <w:r>
              <w:rPr>
                <w:sz w:val="22"/>
                <w:szCs w:val="22"/>
              </w:rPr>
              <w:t xml:space="preserve">intitle:"webcamxp" "Flash JPEG Stream"</w:t>
            </w:r>
          </w:p>
        </w:tc>
        <w:tc>
          <w:tcPr>
            <w:tcMar>
              <w:top w:type="dxa" w:w="100"/>
              <w:left w:type="dxa" w:w="120"/>
              <w:bottom w:type="dxa" w:w="100"/>
              <w:right w:type="dxa" w:w="120"/>
            </w:tcMar>
            <w:vAlign w:val="center"/>
          </w:tcPr>
          <w:p>
            <w:pPr>
              <w:spacing w:after="160" w:line="276"/>
            </w:pPr>
            <w:r>
              <w:rPr>
                <w:sz w:val="22"/>
                <w:szCs w:val="22"/>
              </w:rPr>
              <w:t xml:space="preserve">None captured</w:t>
            </w:r>
          </w:p>
        </w:tc>
      </w:tr>
      <w:tr>
        <w:tc>
          <w:tcPr>
            <w:tcMar>
              <w:top w:type="dxa" w:w="100"/>
              <w:left w:type="dxa" w:w="120"/>
              <w:bottom w:type="dxa" w:w="100"/>
              <w:right w:type="dxa" w:w="120"/>
            </w:tcMar>
            <w:vAlign w:val="center"/>
          </w:tcPr>
          <w:p>
            <w:pPr>
              <w:spacing w:after="160" w:line="276"/>
            </w:pPr>
            <w:r>
              <w:rPr>
                <w:sz w:val="22"/>
                <w:szCs w:val="22"/>
              </w:rPr>
              <w:t xml:space="preserve">7</w:t>
            </w:r>
          </w:p>
        </w:tc>
        <w:tc>
          <w:tcPr>
            <w:tcMar>
              <w:top w:type="dxa" w:w="100"/>
              <w:left w:type="dxa" w:w="120"/>
              <w:bottom w:type="dxa" w:w="100"/>
              <w:right w:type="dxa" w:w="120"/>
            </w:tcMar>
            <w:vAlign w:val="center"/>
          </w:tcPr>
          <w:p>
            <w:pPr>
              <w:spacing w:after="160" w:line="276"/>
            </w:pPr>
            <w:r>
              <w:rPr>
                <w:sz w:val="22"/>
                <w:szCs w:val="22"/>
              </w:rPr>
              <w:t xml:space="preserve">myfishcam.homedns.org:444</w:t>
            </w:r>
          </w:p>
        </w:tc>
        <w:tc>
          <w:tcPr>
            <w:tcMar>
              <w:top w:type="dxa" w:w="100"/>
              <w:left w:type="dxa" w:w="120"/>
              <w:bottom w:type="dxa" w:w="100"/>
              <w:right w:type="dxa" w:w="120"/>
            </w:tcMar>
            <w:vAlign w:val="center"/>
          </w:tcPr>
          <w:p>
            <w:pPr>
              <w:spacing w:after="160" w:line="276"/>
            </w:pPr>
            <w:r>
              <w:rPr>
                <w:sz w:val="22"/>
                <w:szCs w:val="22"/>
              </w:rPr>
              <w:t xml:space="preserve">intitle:"webcamxp" "Flash JPEG Stream"</w:t>
            </w:r>
          </w:p>
        </w:tc>
        <w:tc>
          <w:tcPr>
            <w:tcMar>
              <w:top w:type="dxa" w:w="100"/>
              <w:left w:type="dxa" w:w="120"/>
              <w:bottom w:type="dxa" w:w="100"/>
              <w:right w:type="dxa" w:w="120"/>
            </w:tcMar>
            <w:vAlign w:val="center"/>
          </w:tcPr>
          <w:p>
            <w:pPr>
              <w:spacing w:after="160" w:line="276"/>
            </w:pPr>
            <w:r>
              <w:rPr>
                <w:sz w:val="22"/>
                <w:szCs w:val="22"/>
              </w:rPr>
              <w:t xml:space="preserve">None captured</w:t>
            </w:r>
          </w:p>
        </w:tc>
      </w:tr>
      <w:tr>
        <w:tc>
          <w:tcPr>
            <w:tcMar>
              <w:top w:type="dxa" w:w="100"/>
              <w:left w:type="dxa" w:w="120"/>
              <w:bottom w:type="dxa" w:w="100"/>
              <w:right w:type="dxa" w:w="120"/>
            </w:tcMar>
            <w:vAlign w:val="center"/>
          </w:tcPr>
          <w:p>
            <w:pPr>
              <w:spacing w:after="160" w:line="276"/>
            </w:pPr>
            <w:r>
              <w:rPr>
                <w:sz w:val="22"/>
                <w:szCs w:val="22"/>
              </w:rPr>
              <w:t xml:space="preserve">8</w:t>
            </w:r>
          </w:p>
        </w:tc>
        <w:tc>
          <w:tcPr>
            <w:tcMar>
              <w:top w:type="dxa" w:w="100"/>
              <w:left w:type="dxa" w:w="120"/>
              <w:bottom w:type="dxa" w:w="100"/>
              <w:right w:type="dxa" w:w="120"/>
            </w:tcMar>
            <w:vAlign w:val="center"/>
          </w:tcPr>
          <w:p>
            <w:pPr>
              <w:spacing w:after="160" w:line="276"/>
            </w:pPr>
            <w:r>
              <w:rPr>
                <w:sz w:val="22"/>
                <w:szCs w:val="22"/>
              </w:rPr>
              <w:t xml:space="preserve">sirocco-tnqjqdwhpv.dynamic-m.com:88</w:t>
            </w:r>
          </w:p>
        </w:tc>
        <w:tc>
          <w:tcPr>
            <w:tcMar>
              <w:top w:type="dxa" w:w="100"/>
              <w:left w:type="dxa" w:w="120"/>
              <w:bottom w:type="dxa" w:w="100"/>
              <w:right w:type="dxa" w:w="120"/>
            </w:tcMar>
            <w:vAlign w:val="center"/>
          </w:tcPr>
          <w:p>
            <w:pPr>
              <w:spacing w:after="160" w:line="276"/>
            </w:pPr>
            <w:r>
              <w:rPr>
                <w:sz w:val="22"/>
                <w:szCs w:val="22"/>
              </w:rPr>
              <w:t xml:space="preserve">intitle:"NetCamXL*"</w:t>
            </w:r>
          </w:p>
        </w:tc>
        <w:tc>
          <w:tcPr>
            <w:tcMar>
              <w:top w:type="dxa" w:w="100"/>
              <w:left w:type="dxa" w:w="120"/>
              <w:bottom w:type="dxa" w:w="100"/>
              <w:right w:type="dxa" w:w="120"/>
            </w:tcMar>
            <w:vAlign w:val="center"/>
          </w:tcPr>
          <w:p>
            <w:pPr>
              <w:spacing w:after="160" w:line="276"/>
            </w:pPr>
            <w:r>
              <w:rPr>
                <w:sz w:val="22"/>
                <w:szCs w:val="22"/>
              </w:rPr>
              <w:t xml:space="preserve">None captured</w:t>
            </w:r>
          </w:p>
        </w:tc>
      </w:tr>
      <w:tr>
        <w:tc>
          <w:tcPr>
            <w:tcMar>
              <w:top w:type="dxa" w:w="100"/>
              <w:left w:type="dxa" w:w="120"/>
              <w:bottom w:type="dxa" w:w="100"/>
              <w:right w:type="dxa" w:w="120"/>
            </w:tcMar>
            <w:vAlign w:val="center"/>
          </w:tcPr>
          <w:p>
            <w:pPr>
              <w:spacing w:after="160" w:line="276"/>
            </w:pPr>
            <w:r>
              <w:rPr>
                <w:sz w:val="22"/>
                <w:szCs w:val="22"/>
              </w:rPr>
              <w:t xml:space="preserve">9</w:t>
            </w:r>
          </w:p>
        </w:tc>
        <w:tc>
          <w:tcPr>
            <w:tcMar>
              <w:top w:type="dxa" w:w="100"/>
              <w:left w:type="dxa" w:w="120"/>
              <w:bottom w:type="dxa" w:w="100"/>
              <w:right w:type="dxa" w:w="120"/>
            </w:tcMar>
            <w:vAlign w:val="center"/>
          </w:tcPr>
          <w:p>
            <w:pPr>
              <w:spacing w:after="160" w:line="276"/>
            </w:pPr>
            <w:r>
              <w:rPr>
                <w:sz w:val="22"/>
                <w:szCs w:val="22"/>
              </w:rPr>
              <w:t xml:space="preserve">ldeo-phenocam-stardot.ldeo.columbia.edu</w:t>
            </w:r>
          </w:p>
        </w:tc>
        <w:tc>
          <w:tcPr>
            <w:tcMar>
              <w:top w:type="dxa" w:w="100"/>
              <w:left w:type="dxa" w:w="120"/>
              <w:bottom w:type="dxa" w:w="100"/>
              <w:right w:type="dxa" w:w="120"/>
            </w:tcMar>
            <w:vAlign w:val="center"/>
          </w:tcPr>
          <w:p>
            <w:pPr>
              <w:spacing w:after="160" w:line="276"/>
            </w:pPr>
            <w:r>
              <w:rPr>
                <w:sz w:val="22"/>
                <w:szCs w:val="22"/>
              </w:rPr>
              <w:t xml:space="preserve">intitle:"NetCamSC*"</w:t>
            </w:r>
          </w:p>
        </w:tc>
        <w:tc>
          <w:tcPr>
            <w:tcMar>
              <w:top w:type="dxa" w:w="100"/>
              <w:left w:type="dxa" w:w="120"/>
              <w:bottom w:type="dxa" w:w="100"/>
              <w:right w:type="dxa" w:w="120"/>
            </w:tcMar>
            <w:vAlign w:val="center"/>
          </w:tcPr>
          <w:p>
            <w:pPr>
              <w:spacing w:after="160" w:line="276"/>
            </w:pPr>
            <w:r>
              <w:rPr>
                <w:sz w:val="22"/>
                <w:szCs w:val="22"/>
              </w:rPr>
              <w:t xml:space="preserve">None captured</w:t>
            </w:r>
          </w:p>
        </w:tc>
      </w:tr>
      <w:tr>
        <w:tc>
          <w:tcPr>
            <w:tcMar>
              <w:top w:type="dxa" w:w="100"/>
              <w:left w:type="dxa" w:w="120"/>
              <w:bottom w:type="dxa" w:w="100"/>
              <w:right w:type="dxa" w:w="120"/>
            </w:tcMar>
            <w:vAlign w:val="center"/>
          </w:tcPr>
          <w:p>
            <w:pPr>
              <w:spacing w:after="160" w:line="276"/>
            </w:pPr>
            <w:r>
              <w:rPr>
                <w:sz w:val="22"/>
                <w:szCs w:val="22"/>
              </w:rPr>
              <w:t xml:space="preserve">10</w:t>
            </w:r>
          </w:p>
        </w:tc>
        <w:tc>
          <w:tcPr>
            <w:tcMar>
              <w:top w:type="dxa" w:w="100"/>
              <w:left w:type="dxa" w:w="120"/>
              <w:bottom w:type="dxa" w:w="100"/>
              <w:right w:type="dxa" w:w="120"/>
            </w:tcMar>
            <w:vAlign w:val="center"/>
          </w:tcPr>
          <w:p>
            <w:pPr>
              <w:spacing w:after="160" w:line="276"/>
            </w:pPr>
            <w:r>
              <w:rPr>
                <w:sz w:val="22"/>
                <w:szCs w:val="22"/>
              </w:rPr>
              <w:t xml:space="preserve">mail.nutritechsolutions.com:8002</w:t>
            </w:r>
          </w:p>
        </w:tc>
        <w:tc>
          <w:tcPr>
            <w:tcMar>
              <w:top w:type="dxa" w:w="100"/>
              <w:left w:type="dxa" w:w="120"/>
              <w:bottom w:type="dxa" w:w="100"/>
              <w:right w:type="dxa" w:w="120"/>
            </w:tcMar>
            <w:vAlign w:val="center"/>
          </w:tcPr>
          <w:p>
            <w:pPr>
              <w:spacing w:after="160" w:line="276"/>
            </w:pPr>
            <w:r>
              <w:rPr>
                <w:sz w:val="22"/>
                <w:szCs w:val="22"/>
              </w:rPr>
              <w:t xml:space="preserve">intitle:"NetCamSC*"</w:t>
            </w:r>
          </w:p>
        </w:tc>
        <w:tc>
          <w:tcPr>
            <w:tcMar>
              <w:top w:type="dxa" w:w="100"/>
              <w:left w:type="dxa" w:w="120"/>
              <w:bottom w:type="dxa" w:w="100"/>
              <w:right w:type="dxa" w:w="120"/>
            </w:tcMar>
            <w:vAlign w:val="center"/>
          </w:tcPr>
          <w:p>
            <w:pPr>
              <w:spacing w:after="160" w:line="276"/>
            </w:pPr>
            <w:r>
              <w:rPr>
                <w:sz w:val="22"/>
                <w:szCs w:val="22"/>
              </w:rPr>
              <w:t xml:space="preserve">None captured</w:t>
            </w:r>
          </w:p>
        </w:tc>
      </w:tr>
    </w:tbl>
    <w:p>
      <w:pPr>
        <w:spacing w:after="160" w:line="276"/>
      </w:pPr>
      <w:r>
        <w:rPr>
          <w:sz w:val="22"/>
          <w:szCs w:val="22"/>
        </w:rPr>
        <w:t xml:space="preserve"/>
      </w:r>
    </w:p>
    <w:p>
      <w:pPr>
        <w:spacing w:after="160" w:line="276"/>
      </w:pPr>
      <w:r>
        <w:rPr>
          <w:b/>
          <w:bCs/>
        </w:rPr>
        <w:t xml:space="preserve">Attacker's perspective: </w:t>
      </w:r>
      <w:r>
        <w:t xml:space="preserve">each of these links is a live device with its administrative or viewing interface directly indexed by search engines. No credentials were entered or tested as part of this exercise — the finding itself (that the device is publicly reachable at all) is the security issue, since many such camera interfaces ship with default or no authentication.</w:t>
      </w:r>
    </w:p>
    <w:p>
      <w:pPr>
        <w:pStyle w:val="Heading3"/>
        <w:spacing w:after="100" w:before="200"/>
      </w:pPr>
      <w:r>
        <w:rPr>
          <w:b/>
          <w:bCs/>
          <w:color w:val="333333"/>
          <w:sz w:val="22"/>
          <w:szCs w:val="22"/>
        </w:rPr>
        <w:t xml:space="preserve">6.2.2 Task 2 — Publicly Indexed Mathematics PDF eBooks</w:t>
      </w:r>
    </w:p>
    <w:p>
      <w:pPr>
        <w:spacing w:after="160" w:line="276"/>
      </w:pPr>
      <w:r>
        <w:rPr>
          <w:sz w:val="22"/>
          <w:szCs w:val="22"/>
        </w:rPr>
        <w:t xml:space="preserve">Objective: locate 10 open directory listings containing downloadable mathematics eBooks, using the dork intitle:index.of "parent directory" mathematics pdf. All ten results are listed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gridCol w:w="2688"/>
      </w:tblGrid>
      <w:tr>
        <w:tc>
          <w:tcPr>
            <w:shd w:fill="1F3864" w:val="clear"/>
            <w:tcMar>
              <w:top w:type="dxa" w:w="100"/>
              <w:left w:type="dxa" w:w="120"/>
              <w:bottom w:type="dxa" w:w="100"/>
              <w:right w:type="dxa" w:w="120"/>
            </w:tcMar>
            <w:vAlign w:val="center"/>
          </w:tcPr>
          <w:p>
            <w:r>
              <w:rPr>
                <w:b/>
                <w:bCs/>
                <w:color w:val="FFFFFF"/>
                <w:sz w:val="20"/>
                <w:szCs w:val="20"/>
              </w:rPr>
              <w:t xml:space="preserve">#</w:t>
            </w:r>
          </w:p>
        </w:tc>
        <w:tc>
          <w:tcPr>
            <w:shd w:fill="1F3864" w:val="clear"/>
            <w:tcMar>
              <w:top w:type="dxa" w:w="100"/>
              <w:left w:type="dxa" w:w="120"/>
              <w:bottom w:type="dxa" w:w="100"/>
              <w:right w:type="dxa" w:w="120"/>
            </w:tcMar>
            <w:vAlign w:val="center"/>
          </w:tcPr>
          <w:p>
            <w:r>
              <w:rPr>
                <w:b/>
                <w:bCs/>
                <w:color w:val="FFFFFF"/>
                <w:sz w:val="20"/>
                <w:szCs w:val="20"/>
              </w:rPr>
              <w:t xml:space="preserve">Link</w:t>
            </w:r>
          </w:p>
        </w:tc>
        <w:tc>
          <w:tcPr>
            <w:shd w:fill="1F3864" w:val="clear"/>
            <w:tcMar>
              <w:top w:type="dxa" w:w="100"/>
              <w:left w:type="dxa" w:w="120"/>
              <w:bottom w:type="dxa" w:w="100"/>
              <w:right w:type="dxa" w:w="120"/>
            </w:tcMar>
            <w:vAlign w:val="center"/>
          </w:tcPr>
          <w:p>
            <w:r>
              <w:rPr>
                <w:b/>
                <w:bCs/>
                <w:color w:val="FFFFFF"/>
                <w:sz w:val="20"/>
                <w:szCs w:val="20"/>
              </w:rPr>
              <w:t xml:space="preserve">Dork Used</w:t>
            </w:r>
          </w:p>
        </w:tc>
      </w:tr>
      <w:tr>
        <w:tc>
          <w:tcPr>
            <w:tcMar>
              <w:top w:type="dxa" w:w="100"/>
              <w:left w:type="dxa" w:w="120"/>
              <w:bottom w:type="dxa" w:w="100"/>
              <w:right w:type="dxa" w:w="120"/>
            </w:tcMar>
            <w:vAlign w:val="center"/>
          </w:tcPr>
          <w:p>
            <w:pPr>
              <w:spacing w:after="160" w:line="276"/>
            </w:pPr>
            <w:r>
              <w:rPr>
                <w:sz w:val="22"/>
                <w:szCs w:val="22"/>
              </w:rPr>
              <w:t xml:space="preserve">1</w:t>
            </w:r>
          </w:p>
        </w:tc>
        <w:tc>
          <w:tcPr>
            <w:tcMar>
              <w:top w:type="dxa" w:w="100"/>
              <w:left w:type="dxa" w:w="120"/>
              <w:bottom w:type="dxa" w:w="100"/>
              <w:right w:type="dxa" w:w="120"/>
            </w:tcMar>
            <w:vAlign w:val="center"/>
          </w:tcPr>
          <w:p>
            <w:pPr>
              <w:spacing w:after="160" w:line="276"/>
            </w:pPr>
            <w:r>
              <w:rPr>
                <w:sz w:val="22"/>
                <w:szCs w:val="22"/>
              </w:rPr>
              <w:t xml:space="preserve">skylineuniversity.ac.ae/pdf/math/</w:t>
            </w:r>
          </w:p>
        </w:tc>
        <w:tc>
          <w:tcPr>
            <w:tcMar>
              <w:top w:type="dxa" w:w="100"/>
              <w:left w:type="dxa" w:w="120"/>
              <w:bottom w:type="dxa" w:w="100"/>
              <w:right w:type="dxa" w:w="120"/>
            </w:tcMar>
            <w:vAlign w:val="center"/>
          </w:tcPr>
          <w:p>
            <w:pPr>
              <w:spacing w:after="160" w:line="276"/>
            </w:pPr>
            <w:r>
              <w:rPr>
                <w:sz w:val="22"/>
                <w:szCs w:val="22"/>
              </w:rPr>
              <w:t xml:space="preserve">intitle:index.of "parent directory" mathematics pdf</w:t>
            </w:r>
          </w:p>
        </w:tc>
      </w:tr>
      <w:tr>
        <w:tc>
          <w:tcPr>
            <w:tcMar>
              <w:top w:type="dxa" w:w="100"/>
              <w:left w:type="dxa" w:w="120"/>
              <w:bottom w:type="dxa" w:w="100"/>
              <w:right w:type="dxa" w:w="120"/>
            </w:tcMar>
            <w:vAlign w:val="center"/>
          </w:tcPr>
          <w:p>
            <w:pPr>
              <w:spacing w:after="160" w:line="276"/>
            </w:pPr>
            <w:r>
              <w:rPr>
                <w:sz w:val="22"/>
                <w:szCs w:val="22"/>
              </w:rPr>
              <w:t xml:space="preserve">2</w:t>
            </w:r>
          </w:p>
        </w:tc>
        <w:tc>
          <w:tcPr>
            <w:tcMar>
              <w:top w:type="dxa" w:w="100"/>
              <w:left w:type="dxa" w:w="120"/>
              <w:bottom w:type="dxa" w:w="100"/>
              <w:right w:type="dxa" w:w="120"/>
            </w:tcMar>
            <w:vAlign w:val="center"/>
          </w:tcPr>
          <w:p>
            <w:pPr>
              <w:spacing w:after="160" w:line="276"/>
            </w:pPr>
            <w:r>
              <w:rPr>
                <w:sz w:val="22"/>
                <w:szCs w:val="22"/>
              </w:rPr>
              <w:t xml:space="preserve">erewhon.superkuh.com/library/Math/</w:t>
            </w:r>
          </w:p>
        </w:tc>
        <w:tc>
          <w:tcPr>
            <w:tcMar>
              <w:top w:type="dxa" w:w="100"/>
              <w:left w:type="dxa" w:w="120"/>
              <w:bottom w:type="dxa" w:w="100"/>
              <w:right w:type="dxa" w:w="120"/>
            </w:tcMar>
            <w:vAlign w:val="center"/>
          </w:tcPr>
          <w:p>
            <w:pPr>
              <w:spacing w:after="160" w:line="276"/>
            </w:pPr>
            <w:r>
              <w:rPr>
                <w:sz w:val="22"/>
                <w:szCs w:val="22"/>
              </w:rPr>
              <w:t xml:space="preserve">intitle:index.of "parent directory" mathematics pdf</w:t>
            </w:r>
          </w:p>
        </w:tc>
      </w:tr>
      <w:tr>
        <w:tc>
          <w:tcPr>
            <w:tcMar>
              <w:top w:type="dxa" w:w="100"/>
              <w:left w:type="dxa" w:w="120"/>
              <w:bottom w:type="dxa" w:w="100"/>
              <w:right w:type="dxa" w:w="120"/>
            </w:tcMar>
            <w:vAlign w:val="center"/>
          </w:tcPr>
          <w:p>
            <w:pPr>
              <w:spacing w:after="160" w:line="276"/>
            </w:pPr>
            <w:r>
              <w:rPr>
                <w:sz w:val="22"/>
                <w:szCs w:val="22"/>
              </w:rPr>
              <w:t xml:space="preserve">3</w:t>
            </w:r>
          </w:p>
        </w:tc>
        <w:tc>
          <w:tcPr>
            <w:tcMar>
              <w:top w:type="dxa" w:w="100"/>
              <w:left w:type="dxa" w:w="120"/>
              <w:bottom w:type="dxa" w:w="100"/>
              <w:right w:type="dxa" w:w="120"/>
            </w:tcMar>
            <w:vAlign w:val="center"/>
          </w:tcPr>
          <w:p>
            <w:pPr>
              <w:spacing w:after="160" w:line="276"/>
            </w:pPr>
            <w:r>
              <w:rPr>
                <w:sz w:val="22"/>
                <w:szCs w:val="22"/>
              </w:rPr>
              <w:t xml:space="preserve">inis.jinr.ru/sl/vol2/Mathematics/Math.Encyclopedia/Pdf/Math_V1.pdf</w:t>
            </w:r>
          </w:p>
        </w:tc>
        <w:tc>
          <w:tcPr>
            <w:tcMar>
              <w:top w:type="dxa" w:w="100"/>
              <w:left w:type="dxa" w:w="120"/>
              <w:bottom w:type="dxa" w:w="100"/>
              <w:right w:type="dxa" w:w="120"/>
            </w:tcMar>
            <w:vAlign w:val="center"/>
          </w:tcPr>
          <w:p>
            <w:pPr>
              <w:spacing w:after="160" w:line="276"/>
            </w:pPr>
            <w:r>
              <w:rPr>
                <w:sz w:val="22"/>
                <w:szCs w:val="22"/>
              </w:rPr>
              <w:t xml:space="preserve">intitle:index.of "parent directory" mathematics pdf</w:t>
            </w:r>
          </w:p>
        </w:tc>
      </w:tr>
      <w:tr>
        <w:tc>
          <w:tcPr>
            <w:tcMar>
              <w:top w:type="dxa" w:w="100"/>
              <w:left w:type="dxa" w:w="120"/>
              <w:bottom w:type="dxa" w:w="100"/>
              <w:right w:type="dxa" w:w="120"/>
            </w:tcMar>
            <w:vAlign w:val="center"/>
          </w:tcPr>
          <w:p>
            <w:pPr>
              <w:spacing w:after="160" w:line="276"/>
            </w:pPr>
            <w:r>
              <w:rPr>
                <w:sz w:val="22"/>
                <w:szCs w:val="22"/>
              </w:rPr>
              <w:t xml:space="preserve">4</w:t>
            </w:r>
          </w:p>
        </w:tc>
        <w:tc>
          <w:tcPr>
            <w:tcMar>
              <w:top w:type="dxa" w:w="100"/>
              <w:left w:type="dxa" w:w="120"/>
              <w:bottom w:type="dxa" w:w="100"/>
              <w:right w:type="dxa" w:w="120"/>
            </w:tcMar>
            <w:vAlign w:val="center"/>
          </w:tcPr>
          <w:p>
            <w:pPr>
              <w:spacing w:after="160" w:line="276"/>
            </w:pPr>
            <w:r>
              <w:rPr>
                <w:sz w:val="22"/>
                <w:szCs w:val="22"/>
              </w:rPr>
              <w:t xml:space="preserve">math.dartmouth.edu/~carlp/PDF/</w:t>
            </w:r>
          </w:p>
        </w:tc>
        <w:tc>
          <w:tcPr>
            <w:tcMar>
              <w:top w:type="dxa" w:w="100"/>
              <w:left w:type="dxa" w:w="120"/>
              <w:bottom w:type="dxa" w:w="100"/>
              <w:right w:type="dxa" w:w="120"/>
            </w:tcMar>
            <w:vAlign w:val="center"/>
          </w:tcPr>
          <w:p>
            <w:pPr>
              <w:spacing w:after="160" w:line="276"/>
            </w:pPr>
            <w:r>
              <w:rPr>
                <w:sz w:val="22"/>
                <w:szCs w:val="22"/>
              </w:rPr>
              <w:t xml:space="preserve">intitle:index.of "parent directory" mathematics pdf</w:t>
            </w:r>
          </w:p>
        </w:tc>
      </w:tr>
      <w:tr>
        <w:tc>
          <w:tcPr>
            <w:tcMar>
              <w:top w:type="dxa" w:w="100"/>
              <w:left w:type="dxa" w:w="120"/>
              <w:bottom w:type="dxa" w:w="100"/>
              <w:right w:type="dxa" w:w="120"/>
            </w:tcMar>
            <w:vAlign w:val="center"/>
          </w:tcPr>
          <w:p>
            <w:pPr>
              <w:spacing w:after="160" w:line="276"/>
            </w:pPr>
            <w:r>
              <w:rPr>
                <w:sz w:val="22"/>
                <w:szCs w:val="22"/>
              </w:rPr>
              <w:t xml:space="preserve">5</w:t>
            </w:r>
          </w:p>
        </w:tc>
        <w:tc>
          <w:tcPr>
            <w:tcMar>
              <w:top w:type="dxa" w:w="100"/>
              <w:left w:type="dxa" w:w="120"/>
              <w:bottom w:type="dxa" w:w="100"/>
              <w:right w:type="dxa" w:w="120"/>
            </w:tcMar>
            <w:vAlign w:val="center"/>
          </w:tcPr>
          <w:p>
            <w:pPr>
              <w:spacing w:after="160" w:line="276"/>
            </w:pPr>
            <w:r>
              <w:rPr>
                <w:sz w:val="22"/>
                <w:szCs w:val="22"/>
              </w:rPr>
              <w:t xml:space="preserve">math.ucla.edu/~popa/Books/</w:t>
            </w:r>
          </w:p>
        </w:tc>
        <w:tc>
          <w:tcPr>
            <w:tcMar>
              <w:top w:type="dxa" w:w="100"/>
              <w:left w:type="dxa" w:w="120"/>
              <w:bottom w:type="dxa" w:w="100"/>
              <w:right w:type="dxa" w:w="120"/>
            </w:tcMar>
            <w:vAlign w:val="center"/>
          </w:tcPr>
          <w:p>
            <w:pPr>
              <w:spacing w:after="160" w:line="276"/>
            </w:pPr>
            <w:r>
              <w:rPr>
                <w:sz w:val="22"/>
                <w:szCs w:val="22"/>
              </w:rPr>
              <w:t xml:space="preserve">intitle:index.of "parent directory" mathematics pdf</w:t>
            </w:r>
          </w:p>
        </w:tc>
      </w:tr>
      <w:tr>
        <w:tc>
          <w:tcPr>
            <w:tcMar>
              <w:top w:type="dxa" w:w="100"/>
              <w:left w:type="dxa" w:w="120"/>
              <w:bottom w:type="dxa" w:w="100"/>
              <w:right w:type="dxa" w:w="120"/>
            </w:tcMar>
            <w:vAlign w:val="center"/>
          </w:tcPr>
          <w:p>
            <w:pPr>
              <w:spacing w:after="160" w:line="276"/>
            </w:pPr>
            <w:r>
              <w:rPr>
                <w:sz w:val="22"/>
                <w:szCs w:val="22"/>
              </w:rPr>
              <w:t xml:space="preserve">6</w:t>
            </w:r>
          </w:p>
        </w:tc>
        <w:tc>
          <w:tcPr>
            <w:tcMar>
              <w:top w:type="dxa" w:w="100"/>
              <w:left w:type="dxa" w:w="120"/>
              <w:bottom w:type="dxa" w:w="100"/>
              <w:right w:type="dxa" w:w="120"/>
            </w:tcMar>
            <w:vAlign w:val="center"/>
          </w:tcPr>
          <w:p>
            <w:pPr>
              <w:spacing w:after="160" w:line="276"/>
            </w:pPr>
            <w:r>
              <w:rPr>
                <w:sz w:val="22"/>
                <w:szCs w:val="22"/>
              </w:rPr>
              <w:t xml:space="preserve">math.unl.edu/~mbrittenham2/classwk/325f18/review/math208review/</w:t>
            </w:r>
          </w:p>
        </w:tc>
        <w:tc>
          <w:tcPr>
            <w:tcMar>
              <w:top w:type="dxa" w:w="100"/>
              <w:left w:type="dxa" w:w="120"/>
              <w:bottom w:type="dxa" w:w="100"/>
              <w:right w:type="dxa" w:w="120"/>
            </w:tcMar>
            <w:vAlign w:val="center"/>
          </w:tcPr>
          <w:p>
            <w:pPr>
              <w:spacing w:after="160" w:line="276"/>
            </w:pPr>
            <w:r>
              <w:rPr>
                <w:sz w:val="22"/>
                <w:szCs w:val="22"/>
              </w:rPr>
              <w:t xml:space="preserve">intitle:index.of "parent directory" mathematics pdf</w:t>
            </w:r>
          </w:p>
        </w:tc>
      </w:tr>
      <w:tr>
        <w:tc>
          <w:tcPr>
            <w:tcMar>
              <w:top w:type="dxa" w:w="100"/>
              <w:left w:type="dxa" w:w="120"/>
              <w:bottom w:type="dxa" w:w="100"/>
              <w:right w:type="dxa" w:w="120"/>
            </w:tcMar>
            <w:vAlign w:val="center"/>
          </w:tcPr>
          <w:p>
            <w:pPr>
              <w:spacing w:after="160" w:line="276"/>
            </w:pPr>
            <w:r>
              <w:rPr>
                <w:sz w:val="22"/>
                <w:szCs w:val="22"/>
              </w:rPr>
              <w:t xml:space="preserve">7</w:t>
            </w:r>
          </w:p>
        </w:tc>
        <w:tc>
          <w:tcPr>
            <w:tcMar>
              <w:top w:type="dxa" w:w="100"/>
              <w:left w:type="dxa" w:w="120"/>
              <w:bottom w:type="dxa" w:w="100"/>
              <w:right w:type="dxa" w:w="120"/>
            </w:tcMar>
            <w:vAlign w:val="center"/>
          </w:tcPr>
          <w:p>
            <w:pPr>
              <w:spacing w:after="160" w:line="276"/>
            </w:pPr>
            <w:r>
              <w:rPr>
                <w:sz w:val="22"/>
                <w:szCs w:val="22"/>
              </w:rPr>
              <w:t xml:space="preserve">math.mit.edu/~fgotti/docs/Courses/Combinatorial Analysis/2. Mathematical Induction/</w:t>
            </w:r>
          </w:p>
        </w:tc>
        <w:tc>
          <w:tcPr>
            <w:tcMar>
              <w:top w:type="dxa" w:w="100"/>
              <w:left w:type="dxa" w:w="120"/>
              <w:bottom w:type="dxa" w:w="100"/>
              <w:right w:type="dxa" w:w="120"/>
            </w:tcMar>
            <w:vAlign w:val="center"/>
          </w:tcPr>
          <w:p>
            <w:pPr>
              <w:spacing w:after="160" w:line="276"/>
            </w:pPr>
            <w:r>
              <w:rPr>
                <w:sz w:val="22"/>
                <w:szCs w:val="22"/>
              </w:rPr>
              <w:t xml:space="preserve">intitle:index.of "parent directory" mathematics pdf</w:t>
            </w:r>
          </w:p>
        </w:tc>
      </w:tr>
      <w:tr>
        <w:tc>
          <w:tcPr>
            <w:tcMar>
              <w:top w:type="dxa" w:w="100"/>
              <w:left w:type="dxa" w:w="120"/>
              <w:bottom w:type="dxa" w:w="100"/>
              <w:right w:type="dxa" w:w="120"/>
            </w:tcMar>
            <w:vAlign w:val="center"/>
          </w:tcPr>
          <w:p>
            <w:pPr>
              <w:spacing w:after="160" w:line="276"/>
            </w:pPr>
            <w:r>
              <w:rPr>
                <w:sz w:val="22"/>
                <w:szCs w:val="22"/>
              </w:rPr>
              <w:t xml:space="preserve">8</w:t>
            </w:r>
          </w:p>
        </w:tc>
        <w:tc>
          <w:tcPr>
            <w:tcMar>
              <w:top w:type="dxa" w:w="100"/>
              <w:left w:type="dxa" w:w="120"/>
              <w:bottom w:type="dxa" w:w="100"/>
              <w:right w:type="dxa" w:w="120"/>
            </w:tcMar>
            <w:vAlign w:val="center"/>
          </w:tcPr>
          <w:p>
            <w:pPr>
              <w:spacing w:after="160" w:line="276"/>
            </w:pPr>
            <w:r>
              <w:rPr>
                <w:sz w:val="22"/>
                <w:szCs w:val="22"/>
              </w:rPr>
              <w:t xml:space="preserve">netlib.org/math/docpdf/</w:t>
            </w:r>
          </w:p>
        </w:tc>
        <w:tc>
          <w:tcPr>
            <w:tcMar>
              <w:top w:type="dxa" w:w="100"/>
              <w:left w:type="dxa" w:w="120"/>
              <w:bottom w:type="dxa" w:w="100"/>
              <w:right w:type="dxa" w:w="120"/>
            </w:tcMar>
            <w:vAlign w:val="center"/>
          </w:tcPr>
          <w:p>
            <w:pPr>
              <w:spacing w:after="160" w:line="276"/>
            </w:pPr>
            <w:r>
              <w:rPr>
                <w:sz w:val="22"/>
                <w:szCs w:val="22"/>
              </w:rPr>
              <w:t xml:space="preserve">intitle:index.of "parent directory" mathematics pdf</w:t>
            </w:r>
          </w:p>
        </w:tc>
      </w:tr>
      <w:tr>
        <w:tc>
          <w:tcPr>
            <w:tcMar>
              <w:top w:type="dxa" w:w="100"/>
              <w:left w:type="dxa" w:w="120"/>
              <w:bottom w:type="dxa" w:w="100"/>
              <w:right w:type="dxa" w:w="120"/>
            </w:tcMar>
            <w:vAlign w:val="center"/>
          </w:tcPr>
          <w:p>
            <w:pPr>
              <w:spacing w:after="160" w:line="276"/>
            </w:pPr>
            <w:r>
              <w:rPr>
                <w:sz w:val="22"/>
                <w:szCs w:val="22"/>
              </w:rPr>
              <w:t xml:space="preserve">9</w:t>
            </w:r>
          </w:p>
        </w:tc>
        <w:tc>
          <w:tcPr>
            <w:tcMar>
              <w:top w:type="dxa" w:w="100"/>
              <w:left w:type="dxa" w:w="120"/>
              <w:bottom w:type="dxa" w:w="100"/>
              <w:right w:type="dxa" w:w="120"/>
            </w:tcMar>
            <w:vAlign w:val="center"/>
          </w:tcPr>
          <w:p>
            <w:pPr>
              <w:spacing w:after="160" w:line="276"/>
            </w:pPr>
            <w:r>
              <w:rPr>
                <w:sz w:val="22"/>
                <w:szCs w:val="22"/>
              </w:rPr>
              <w:t xml:space="preserve">sumo.stanford.edu/pdfs/</w:t>
            </w:r>
          </w:p>
        </w:tc>
        <w:tc>
          <w:tcPr>
            <w:tcMar>
              <w:top w:type="dxa" w:w="100"/>
              <w:left w:type="dxa" w:w="120"/>
              <w:bottom w:type="dxa" w:w="100"/>
              <w:right w:type="dxa" w:w="120"/>
            </w:tcMar>
            <w:vAlign w:val="center"/>
          </w:tcPr>
          <w:p>
            <w:pPr>
              <w:spacing w:after="160" w:line="276"/>
            </w:pPr>
            <w:r>
              <w:rPr>
                <w:sz w:val="22"/>
                <w:szCs w:val="22"/>
              </w:rPr>
              <w:t xml:space="preserve">intitle:index.of "parent directory" mathematics pdf</w:t>
            </w:r>
          </w:p>
        </w:tc>
      </w:tr>
      <w:tr>
        <w:tc>
          <w:tcPr>
            <w:tcMar>
              <w:top w:type="dxa" w:w="100"/>
              <w:left w:type="dxa" w:w="120"/>
              <w:bottom w:type="dxa" w:w="100"/>
              <w:right w:type="dxa" w:w="120"/>
            </w:tcMar>
            <w:vAlign w:val="center"/>
          </w:tcPr>
          <w:p>
            <w:pPr>
              <w:spacing w:after="160" w:line="276"/>
            </w:pPr>
            <w:r>
              <w:rPr>
                <w:sz w:val="22"/>
                <w:szCs w:val="22"/>
              </w:rPr>
              <w:t xml:space="preserve">10</w:t>
            </w:r>
          </w:p>
        </w:tc>
        <w:tc>
          <w:tcPr>
            <w:tcMar>
              <w:top w:type="dxa" w:w="100"/>
              <w:left w:type="dxa" w:w="120"/>
              <w:bottom w:type="dxa" w:w="100"/>
              <w:right w:type="dxa" w:w="120"/>
            </w:tcMar>
            <w:vAlign w:val="center"/>
          </w:tcPr>
          <w:p>
            <w:pPr>
              <w:spacing w:after="160" w:line="276"/>
            </w:pPr>
            <w:r>
              <w:rPr>
                <w:sz w:val="22"/>
                <w:szCs w:val="22"/>
              </w:rPr>
              <w:t xml:space="preserve">bibliothek.wzb.eu/pdf/</w:t>
            </w:r>
          </w:p>
        </w:tc>
        <w:tc>
          <w:tcPr>
            <w:tcMar>
              <w:top w:type="dxa" w:w="100"/>
              <w:left w:type="dxa" w:w="120"/>
              <w:bottom w:type="dxa" w:w="100"/>
              <w:right w:type="dxa" w:w="120"/>
            </w:tcMar>
            <w:vAlign w:val="center"/>
          </w:tcPr>
          <w:p>
            <w:pPr>
              <w:spacing w:after="160" w:line="276"/>
            </w:pPr>
            <w:r>
              <w:rPr>
                <w:sz w:val="22"/>
                <w:szCs w:val="22"/>
              </w:rPr>
              <w:t xml:space="preserve">intitle:index.of "parent directory" mathematics pdf</w:t>
            </w:r>
          </w:p>
        </w:tc>
      </w:tr>
    </w:tbl>
    <w:p>
      <w:pPr>
        <w:spacing w:after="160" w:line="276"/>
      </w:pPr>
      <w:r>
        <w:rPr>
          <w:sz w:val="22"/>
          <w:szCs w:val="22"/>
        </w:rPr>
        <w:t xml:space="preserve"/>
      </w:r>
    </w:p>
    <w:p>
      <w:pPr>
        <w:spacing w:after="160" w:line="276"/>
      </w:pPr>
      <w:r>
        <w:rPr>
          <w:b/>
          <w:bCs/>
        </w:rPr>
        <w:t xml:space="preserve">Attacker's perspective: </w:t>
      </w:r>
      <w:r>
        <w:t xml:space="preserve">open directory listings show that web-server directory indexing was left enabled, which — on a different target — could just as easily expose configuration files, backups or credentials instead of harmless PDFs. It illustrates why directory indexing should be disabled by default on production web servers.</w:t>
      </w:r>
    </w:p>
    <w:p>
      <w:r>
        <w:br w:type="page"/>
      </w:r>
    </w:p>
    <w:p>
      <w:pPr>
        <w:pStyle w:val="Heading2"/>
        <w:spacing w:after="120" w:before="280"/>
      </w:pPr>
      <w:r>
        <w:rPr>
          <w:b/>
          <w:bCs/>
          <w:color w:val="2E75B6"/>
          <w:sz w:val="25"/>
          <w:szCs w:val="25"/>
        </w:rPr>
        <w:t xml:space="preserve">6.3 Module 3 — Footprinting with Maltego</w:t>
      </w:r>
    </w:p>
    <w:p>
      <w:pPr>
        <w:spacing w:after="160" w:line="276"/>
      </w:pPr>
      <w:r>
        <w:rPr>
          <w:sz w:val="22"/>
          <w:szCs w:val="22"/>
        </w:rPr>
        <w:t xml:space="preserve">Maltego Desktop Client (v4.12.1) was installed and configured with a free Community (CE) account, per the module guide. A Domain entity was created for networkwalks.com and the built-in "To Email Addresses [Utilities]" transform was run against it.</w:t>
      </w:r>
    </w:p>
    <w:p>
      <w:pPr>
        <w:spacing w:after="60" w:before="160"/>
        <w:jc w:val="center"/>
      </w:pPr>
      <w:r>
        <w:drawing>
          <wp:inline distT="0" distB="0" distL="0" distR="0">
            <wp:extent cx="54864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4229100"/>
                    </a:xfrm>
                    <a:prstGeom prst="rect">
                      <a:avLst/>
                    </a:prstGeom>
                  </pic:spPr>
                </pic:pic>
              </a:graphicData>
            </a:graphic>
          </wp:inline>
        </w:drawing>
      </w:r>
    </w:p>
    <w:p>
      <w:pPr>
        <w:spacing w:after="260" w:before="60"/>
        <w:jc w:val="center"/>
      </w:pPr>
      <w:r>
        <w:rPr>
          <w:i/>
          <w:iCs/>
          <w:color w:val="595959"/>
          <w:sz w:val="18"/>
          <w:szCs w:val="18"/>
        </w:rPr>
        <w:t xml:space="preserve">Figure 7 – Maltego domain-to-email transform graph for networkwalks.com</w:t>
      </w:r>
    </w:p>
    <w:p>
      <w:pPr>
        <w:spacing w:after="160" w:line="276"/>
      </w:pPr>
      <w:r>
        <w:rPr>
          <w:sz w:val="22"/>
          <w:szCs w:val="22"/>
        </w:rPr>
        <w:t xml:space="preserve">Result: the transform returned one email address, info@networkwalks.com, and expanded it to two related URLs — the site's Contact-Us page and the Networkwalks Academy homepage — visualised as a link-analysis graph in the Maltego canvas.</w:t>
      </w:r>
    </w:p>
    <w:p>
      <w:pPr>
        <w:spacing w:after="160" w:line="276"/>
      </w:pPr>
      <w:r>
        <w:rPr>
          <w:b/>
          <w:bCs/>
        </w:rPr>
        <w:t xml:space="preserve">Attacker's perspective: </w:t>
      </w:r>
      <w:r>
        <w:t xml:space="preserve">Maltego's strength is not the single data point but the graph — it automatically pivots from a domain to associated emails, URLs, and (with further transforms) infrastructure and social profiles, letting an analyst visually map an organisation's public attack surface far faster than manual searching.</w:t>
      </w:r>
    </w:p>
    <w:p>
      <w:r>
        <w:br w:type="page"/>
      </w:r>
    </w:p>
    <w:p>
      <w:pPr>
        <w:pStyle w:val="Heading2"/>
        <w:spacing w:after="120" w:before="280"/>
      </w:pPr>
      <w:r>
        <w:rPr>
          <w:b/>
          <w:bCs/>
          <w:color w:val="2E75B6"/>
          <w:sz w:val="25"/>
          <w:szCs w:val="25"/>
        </w:rPr>
        <w:t xml:space="preserve">6.4 Module 4 — Footprinting with theHarvester</w:t>
      </w:r>
    </w:p>
    <w:p>
      <w:pPr>
        <w:spacing w:after="160" w:line="276"/>
      </w:pPr>
      <w:r>
        <w:rPr>
          <w:sz w:val="22"/>
          <w:szCs w:val="22"/>
        </w:rPr>
        <w:t xml:space="preserve">Target: microsoft.com (public-source OSINT only — no direct connection was made to Microsoft's infrastructure; theHarvester only queries third-party public search sources).</w:t>
      </w:r>
    </w:p>
    <w:p>
      <w:pPr>
        <w:pStyle w:val="Heading3"/>
        <w:spacing w:after="100" w:before="200"/>
      </w:pPr>
      <w:r>
        <w:rPr>
          <w:b/>
          <w:bCs/>
          <w:color w:val="333333"/>
          <w:sz w:val="22"/>
          <w:szCs w:val="22"/>
        </w:rPr>
        <w:t xml:space="preserve">6.4.1 Task 1 — theHarvester via Baidu (limit 1000)</w:t>
      </w:r>
    </w:p>
    <w:p>
      <w:pPr>
        <w:pBdr>
          <w:top w:val="single" w:color="30363D" w:sz="4" w:space="4"/>
          <w:bottom w:val="single" w:color="30363D" w:sz="4" w:space="4"/>
          <w:left w:val="single" w:color="30363D" w:sz="4" w:space="4"/>
          <w:right w:val="single" w:color="30363D" w:sz="4" w:space="4"/>
        </w:pBdr>
        <w:shd w:fill="0D1117" w:val="clear"/>
        <w:spacing w:after="160" w:before="80"/>
        <w:ind w:left="200" w:right="200"/>
      </w:pPr>
      <w:r>
        <w:rPr>
          <w:rFonts w:ascii="Consolas" w:cs="Consolas" w:eastAsia="Consolas" w:hAnsi="Consolas"/>
          <w:color w:val="58D68D"/>
          <w:sz w:val="20"/>
          <w:szCs w:val="20"/>
        </w:rPr>
        <w:t xml:space="preserve">$ theHarvester -d microsoft.com -l 1000 -b baidu</w:t>
      </w:r>
    </w:p>
    <w:p>
      <w:pPr>
        <w:spacing w:after="160" w:line="276"/>
      </w:pPr>
      <w:r>
        <w:rPr>
          <w:sz w:val="22"/>
          <w:szCs w:val="22"/>
        </w:rPr>
        <w:t xml:space="preserve">This command was run twice on different occasions, as instructed in the module guide, which notes that results can vary between runs because theHarvester depends on third-party search sources that change their indexing and anti-scraping behaviour over time:</w:t>
      </w:r>
    </w:p>
    <w:p>
      <w:pPr>
        <w:pStyle w:val="ListParagraph"/>
        <w:numPr>
          <w:ilvl w:val="0"/>
          <w:numId w:val="1"/>
        </w:numPr>
        <w:spacing w:after="80"/>
      </w:pPr>
      <w:r>
        <w:rPr>
          <w:sz w:val="22"/>
          <w:szCs w:val="22"/>
        </w:rPr>
        <w:t xml:space="preserve">First run: 0 emails and 4 hosts found — developer.microsoft.com, prod.support.services.microsoft.com, support.microsoft.com, support.serviceshub.microsoft.com.</w:t>
      </w:r>
    </w:p>
    <w:p>
      <w:pPr>
        <w:pStyle w:val="ListParagraph"/>
        <w:numPr>
          <w:ilvl w:val="0"/>
          <w:numId w:val="1"/>
        </w:numPr>
        <w:spacing w:after="80"/>
      </w:pPr>
      <w:r>
        <w:rPr>
          <w:sz w:val="22"/>
          <w:szCs w:val="22"/>
        </w:rPr>
        <w:t xml:space="preserve">Second run: 3 emails and 6 hosts found — is-microsoft-noreply@microsoft.com, microsoft-noreply@microsoft.com and postmaster@microsoft.com; hosts 2Fsupport.microsoft.com, account.microsoft.com, learn.microsoft.com, prod.support.services.microsoft.com, service.microsoft.com and support.microsoft.com.</w:t>
      </w:r>
    </w:p>
    <w:p>
      <w:pPr>
        <w:spacing w:after="60" w:before="160"/>
        <w:jc w:val="center"/>
      </w:pPr>
      <w:r>
        <w:drawing>
          <wp:inline distT="0" distB="0" distL="0" distR="0">
            <wp:extent cx="493395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4905375"/>
                    </a:xfrm>
                    <a:prstGeom prst="rect">
                      <a:avLst/>
                    </a:prstGeom>
                  </pic:spPr>
                </pic:pic>
              </a:graphicData>
            </a:graphic>
          </wp:inline>
        </w:drawing>
      </w:r>
    </w:p>
    <w:p>
      <w:pPr>
        <w:spacing w:after="260" w:before="60"/>
        <w:jc w:val="center"/>
      </w:pPr>
      <w:r>
        <w:rPr>
          <w:i/>
          <w:iCs/>
          <w:color w:val="595959"/>
          <w:sz w:val="18"/>
          <w:szCs w:val="18"/>
        </w:rPr>
        <w:t xml:space="preserve">Figure 8 – theHarvester result for microsoft.com via Baidu (second run, emails and hosts found)</w:t>
      </w:r>
    </w:p>
    <w:p>
      <w:pPr>
        <w:spacing w:after="160" w:line="276"/>
      </w:pPr>
      <w:r>
        <w:rPr>
          <w:b/>
          <w:bCs/>
        </w:rPr>
        <w:t xml:space="preserve">Attacker's perspective: </w:t>
      </w:r>
      <w:r>
        <w:t xml:space="preserve">each harvested email is a potential phishing or credential-stuffing target, and each sub-domain is another entry point that a defender may have forgotten was public-facing — all gathered without a single packet reaching Microsoft's own servers.</w:t>
      </w:r>
    </w:p>
    <w:p>
      <w:pPr>
        <w:pStyle w:val="Heading3"/>
        <w:spacing w:after="100" w:before="200"/>
      </w:pPr>
      <w:r>
        <w:rPr>
          <w:b/>
          <w:bCs/>
          <w:color w:val="333333"/>
          <w:sz w:val="22"/>
          <w:szCs w:val="22"/>
        </w:rPr>
        <w:t xml:space="preserve">6.4.2 Task 2 — theHarvester via All Sources (limit 50)</w:t>
      </w:r>
    </w:p>
    <w:p>
      <w:pPr>
        <w:pBdr>
          <w:top w:val="single" w:color="30363D" w:sz="4" w:space="4"/>
          <w:bottom w:val="single" w:color="30363D" w:sz="4" w:space="4"/>
          <w:left w:val="single" w:color="30363D" w:sz="4" w:space="4"/>
          <w:right w:val="single" w:color="30363D" w:sz="4" w:space="4"/>
        </w:pBdr>
        <w:shd w:fill="0D1117" w:val="clear"/>
        <w:spacing w:after="160" w:before="80"/>
        <w:ind w:left="200" w:right="200"/>
      </w:pPr>
      <w:r>
        <w:rPr>
          <w:rFonts w:ascii="Consolas" w:cs="Consolas" w:eastAsia="Consolas" w:hAnsi="Consolas"/>
          <w:color w:val="58D68D"/>
          <w:sz w:val="20"/>
          <w:szCs w:val="20"/>
        </w:rPr>
        <w:t xml:space="preserve">$ theHarvester -d microsoft.com -l 50 -b all</w:t>
      </w:r>
    </w:p>
    <w:p>
      <w:pPr>
        <w:spacing w:after="160" w:line="276"/>
      </w:pPr>
      <w:r>
        <w:rPr>
          <w:sz w:val="22"/>
          <w:szCs w:val="22"/>
        </w:rPr>
        <w:t xml:space="preserve">Running against all supported sources surfaced the tool's dependency on paid third-party APIs: the default Kali installation has no API keys configured in /etc/theHarvester/api-keys.yaml, so most premium sources (Bevigil, Bitbucket, BufferOverun, BuiltWith, Brave Search, Censys, CriminalIP, Dehashed, DNSDumpster, FullHunt, GitHub, HaveIBeenPwned, Hunter, HunterHow, Intelx, Netlas, Onyphe, PentestTools, ProjectDiscovery, RocketReach, SecurityScorecard, SecurityTrails, SherlockEye and Shodan) returned "Missing API key" errors, while free/keyless sources such as Mojeek fell back to default scraping mode.</w:t>
      </w:r>
    </w:p>
    <w:p>
      <w:pPr>
        <w:spacing w:after="60" w:before="160"/>
        <w:jc w:val="center"/>
      </w:pPr>
      <w:r>
        <w:drawing>
          <wp:inline distT="0" distB="0" distL="0" distR="0">
            <wp:extent cx="4114800"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14800" cy="5353050"/>
                    </a:xfrm>
                    <a:prstGeom prst="rect">
                      <a:avLst/>
                    </a:prstGeom>
                  </pic:spPr>
                </pic:pic>
              </a:graphicData>
            </a:graphic>
          </wp:inline>
        </w:drawing>
      </w:r>
    </w:p>
    <w:p>
      <w:pPr>
        <w:spacing w:after="260" w:before="60"/>
        <w:jc w:val="center"/>
      </w:pPr>
      <w:r>
        <w:rPr>
          <w:i/>
          <w:iCs/>
          <w:color w:val="595959"/>
          <w:sz w:val="18"/>
          <w:szCs w:val="18"/>
        </w:rPr>
        <w:t xml:space="preserve">Figure 9 – theHarvester -b all run against microsoft.com showing missing-API-key handling</w:t>
      </w:r>
    </w:p>
    <w:p>
      <w:pPr>
        <w:spacing w:after="160" w:line="276"/>
      </w:pPr>
      <w:r>
        <w:rPr>
          <w:b/>
          <w:bCs/>
          <w:i/>
          <w:iCs/>
        </w:rPr>
        <w:t xml:space="preserve">Note: </w:t>
      </w:r>
      <w:r>
        <w:rPr>
          <w:i/>
          <w:iCs/>
        </w:rPr>
        <w:t xml:space="preserve">this behaviour is expected on a fresh Kali install and is not an error in methodology — it demonstrates that the free single-source Baidu query (Task 1) is often more practical for a quick assessment than the all-sources mode, which requires a paid subscription to most of the higher-value sources to reach its full potential.</w:t>
      </w:r>
    </w:p>
    <w:p>
      <w:r>
        <w:br w:type="page"/>
      </w:r>
    </w:p>
    <w:p>
      <w:pPr>
        <w:pStyle w:val="Heading2"/>
        <w:spacing w:after="120" w:before="280"/>
      </w:pPr>
      <w:r>
        <w:rPr>
          <w:b/>
          <w:bCs/>
          <w:color w:val="2E75B6"/>
          <w:sz w:val="25"/>
          <w:szCs w:val="25"/>
        </w:rPr>
        <w:t xml:space="preserve">6.5 Module 5 — Network Scanning with Zenmap</w:t>
      </w:r>
    </w:p>
    <w:p>
      <w:pPr>
        <w:spacing w:after="160" w:line="276"/>
      </w:pPr>
      <w:r>
        <w:rPr>
          <w:sz w:val="22"/>
          <w:szCs w:val="22"/>
        </w:rPr>
        <w:t xml:space="preserve">Target: my own local area network. Zenmap (the Nmap GUI) was installed on Windows from the official nmap.org distribution, per the module guide.</w:t>
      </w:r>
    </w:p>
    <w:p>
      <w:pPr>
        <w:pStyle w:val="Heading3"/>
        <w:spacing w:after="100" w:before="200"/>
      </w:pPr>
      <w:r>
        <w:rPr>
          <w:b/>
          <w:bCs/>
          <w:color w:val="333333"/>
          <w:sz w:val="22"/>
          <w:szCs w:val="22"/>
        </w:rPr>
        <w:t xml:space="preserve">6.5.1 Local IP Address &amp; Subnet</w:t>
      </w:r>
    </w:p>
    <w:p>
      <w:pPr>
        <w:spacing w:after="160" w:line="276"/>
      </w:pPr>
      <w:r>
        <w:rPr>
          <w:sz w:val="22"/>
          <w:szCs w:val="22"/>
        </w:rPr>
        <w:t xml:space="preserve">The Windows ipconfig command was used to identify the local IP address and subnet mask of the testing machine, which sits on the 192.168.3.0/24 network.</w:t>
      </w:r>
    </w:p>
    <w:p>
      <w:pPr>
        <w:pStyle w:val="Heading3"/>
        <w:spacing w:after="100" w:before="200"/>
      </w:pPr>
      <w:r>
        <w:rPr>
          <w:b/>
          <w:bCs/>
          <w:color w:val="333333"/>
          <w:sz w:val="22"/>
          <w:szCs w:val="22"/>
        </w:rPr>
        <w:t xml:space="preserve">6.5.2 Ping Scan — Host Discovery</w:t>
      </w:r>
    </w:p>
    <w:p>
      <w:pPr>
        <w:pBdr>
          <w:top w:val="single" w:color="30363D" w:sz="4" w:space="4"/>
          <w:bottom w:val="single" w:color="30363D" w:sz="4" w:space="4"/>
          <w:left w:val="single" w:color="30363D" w:sz="4" w:space="4"/>
          <w:right w:val="single" w:color="30363D" w:sz="4" w:space="4"/>
        </w:pBdr>
        <w:shd w:fill="0D1117" w:val="clear"/>
        <w:spacing w:after="160" w:before="80"/>
        <w:ind w:left="200" w:right="200"/>
      </w:pPr>
      <w:r>
        <w:rPr>
          <w:rFonts w:ascii="Consolas" w:cs="Consolas" w:eastAsia="Consolas" w:hAnsi="Consolas"/>
          <w:color w:val="58D68D"/>
          <w:sz w:val="20"/>
          <w:szCs w:val="20"/>
        </w:rPr>
        <w:t xml:space="preserve">nmap -sn 192.168.3.0/24</w:t>
      </w:r>
    </w:p>
    <w:p>
      <w:pPr>
        <w:spacing w:after="160" w:line="276"/>
      </w:pPr>
      <w:r>
        <w:rPr>
          <w:sz w:val="22"/>
          <w:szCs w:val="22"/>
        </w:rPr>
        <w:t xml:space="preserve">The subnet 192.168.3.0/24 was entered as the target in Zenmap with the built-in "Ping scan" profile selected, which performs host discovery only (no port scan).</w:t>
      </w:r>
    </w:p>
    <w:p>
      <w:pPr>
        <w:spacing w:after="60" w:before="160"/>
        <w:jc w:val="center"/>
      </w:pPr>
      <w:r>
        <w:drawing>
          <wp:inline distT="0" distB="0" distL="0" distR="0">
            <wp:extent cx="54864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4410075"/>
                    </a:xfrm>
                    <a:prstGeom prst="rect">
                      <a:avLst/>
                    </a:prstGeom>
                  </pic:spPr>
                </pic:pic>
              </a:graphicData>
            </a:graphic>
          </wp:inline>
        </w:drawing>
      </w:r>
    </w:p>
    <w:p>
      <w:pPr>
        <w:spacing w:after="260" w:before="60"/>
        <w:jc w:val="center"/>
      </w:pPr>
      <w:r>
        <w:rPr>
          <w:i/>
          <w:iCs/>
          <w:color w:val="595959"/>
          <w:sz w:val="18"/>
          <w:szCs w:val="18"/>
        </w:rPr>
        <w:t xml:space="preserve">Figure 10 – Zenmap ping-scan output for the 192.168.3.0/24 subnet</w:t>
      </w:r>
    </w:p>
    <w:p>
      <w:pPr>
        <w:pStyle w:val="Heading3"/>
        <w:spacing w:after="100" w:before="200"/>
      </w:pPr>
      <w:r>
        <w:rPr>
          <w:b/>
          <w:bCs/>
          <w:color w:val="333333"/>
          <w:sz w:val="22"/>
          <w:szCs w:val="22"/>
        </w:rPr>
        <w:t xml:space="preserve">6.5.3 Live Hosts, IP &amp; MAC Addresses</w:t>
      </w:r>
    </w:p>
    <w:p>
      <w:pPr>
        <w:spacing w:after="160" w:line="276"/>
      </w:pPr>
      <w:r>
        <w:rPr>
          <w:sz w:val="22"/>
          <w:szCs w:val="22"/>
        </w:rPr>
        <w:t xml:space="preserve">The scan identified 25 live hosts on the subnet (25/25 hosts shown in the Zenmap Hosts panel), including the scanning machine itself. A representative sample of the hosts and their MAC addresses/vendors captured directly from the Nmap Output pane is listed below; the complete list of 25 IP addresses is shown in the network topology diagram (Figure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3388"/>
      </w:tblGrid>
      <w:tr>
        <w:tc>
          <w:tcPr>
            <w:shd w:fill="1F3864" w:val="clear"/>
            <w:tcMar>
              <w:top w:type="dxa" w:w="100"/>
              <w:left w:type="dxa" w:w="120"/>
              <w:bottom w:type="dxa" w:w="100"/>
              <w:right w:type="dxa" w:w="120"/>
            </w:tcMar>
            <w:vAlign w:val="center"/>
          </w:tcPr>
          <w:p>
            <w:r>
              <w:rPr>
                <w:b/>
                <w:bCs/>
                <w:color w:val="FFFFFF"/>
                <w:sz w:val="20"/>
                <w:szCs w:val="20"/>
              </w:rPr>
              <w:t xml:space="preserve">IP Address</w:t>
            </w:r>
          </w:p>
        </w:tc>
        <w:tc>
          <w:tcPr>
            <w:shd w:fill="1F3864" w:val="clear"/>
            <w:tcMar>
              <w:top w:type="dxa" w:w="100"/>
              <w:left w:type="dxa" w:w="120"/>
              <w:bottom w:type="dxa" w:w="100"/>
              <w:right w:type="dxa" w:w="120"/>
            </w:tcMar>
            <w:vAlign w:val="center"/>
          </w:tcPr>
          <w:p>
            <w:r>
              <w:rPr>
                <w:b/>
                <w:bCs/>
                <w:color w:val="FFFFFF"/>
                <w:sz w:val="20"/>
                <w:szCs w:val="20"/>
              </w:rPr>
              <w:t xml:space="preserve">MAC Address</w:t>
            </w:r>
          </w:p>
        </w:tc>
        <w:tc>
          <w:tcPr>
            <w:shd w:fill="1F3864" w:val="clear"/>
            <w:tcMar>
              <w:top w:type="dxa" w:w="100"/>
              <w:left w:type="dxa" w:w="120"/>
              <w:bottom w:type="dxa" w:w="100"/>
              <w:right w:type="dxa" w:w="120"/>
            </w:tcMar>
            <w:vAlign w:val="center"/>
          </w:tcPr>
          <w:p>
            <w:r>
              <w:rPr>
                <w:b/>
                <w:bCs/>
                <w:color w:val="FFFFFF"/>
                <w:sz w:val="20"/>
                <w:szCs w:val="20"/>
              </w:rPr>
              <w:t xml:space="preserve">Vendor</w:t>
            </w:r>
          </w:p>
        </w:tc>
      </w:tr>
      <w:tr>
        <w:tc>
          <w:tcPr>
            <w:tcMar>
              <w:top w:type="dxa" w:w="100"/>
              <w:left w:type="dxa" w:w="120"/>
              <w:bottom w:type="dxa" w:w="100"/>
              <w:right w:type="dxa" w:w="120"/>
            </w:tcMar>
            <w:vAlign w:val="center"/>
          </w:tcPr>
          <w:p>
            <w:pPr>
              <w:spacing w:after="160" w:line="276"/>
            </w:pPr>
            <w:r>
              <w:rPr>
                <w:sz w:val="22"/>
                <w:szCs w:val="22"/>
              </w:rPr>
              <w:t xml:space="preserve">192.168.3.0</w:t>
            </w:r>
          </w:p>
        </w:tc>
        <w:tc>
          <w:tcPr>
            <w:tcMar>
              <w:top w:type="dxa" w:w="100"/>
              <w:left w:type="dxa" w:w="120"/>
              <w:bottom w:type="dxa" w:w="100"/>
              <w:right w:type="dxa" w:w="120"/>
            </w:tcMar>
            <w:vAlign w:val="center"/>
          </w:tcPr>
          <w:p>
            <w:pPr>
              <w:spacing w:after="160" w:line="276"/>
            </w:pPr>
            <w:r>
              <w:rPr>
                <w:sz w:val="22"/>
                <w:szCs w:val="22"/>
              </w:rPr>
              <w:t xml:space="preserve">08:55:31:44:F4:F3</w:t>
            </w:r>
          </w:p>
        </w:tc>
        <w:tc>
          <w:tcPr>
            <w:tcMar>
              <w:top w:type="dxa" w:w="100"/>
              <w:left w:type="dxa" w:w="120"/>
              <w:bottom w:type="dxa" w:w="100"/>
              <w:right w:type="dxa" w:w="120"/>
            </w:tcMar>
            <w:vAlign w:val="center"/>
          </w:tcPr>
          <w:p>
            <w:pPr>
              <w:spacing w:after="160" w:line="276"/>
            </w:pPr>
            <w:r>
              <w:rPr>
                <w:sz w:val="22"/>
                <w:szCs w:val="22"/>
              </w:rPr>
              <w:t xml:space="preserve">Routerboard.com (MikroTik)</w:t>
            </w:r>
          </w:p>
        </w:tc>
      </w:tr>
      <w:tr>
        <w:tc>
          <w:tcPr>
            <w:tcMar>
              <w:top w:type="dxa" w:w="100"/>
              <w:left w:type="dxa" w:w="120"/>
              <w:bottom w:type="dxa" w:w="100"/>
              <w:right w:type="dxa" w:w="120"/>
            </w:tcMar>
            <w:vAlign w:val="center"/>
          </w:tcPr>
          <w:p>
            <w:pPr>
              <w:spacing w:after="160" w:line="276"/>
            </w:pPr>
            <w:r>
              <w:rPr>
                <w:sz w:val="22"/>
                <w:szCs w:val="22"/>
              </w:rPr>
              <w:t xml:space="preserve">192.168.3.1</w:t>
            </w:r>
          </w:p>
        </w:tc>
        <w:tc>
          <w:tcPr>
            <w:tcMar>
              <w:top w:type="dxa" w:w="100"/>
              <w:left w:type="dxa" w:w="120"/>
              <w:bottom w:type="dxa" w:w="100"/>
              <w:right w:type="dxa" w:w="120"/>
            </w:tcMar>
            <w:vAlign w:val="center"/>
          </w:tcPr>
          <w:p>
            <w:pPr>
              <w:spacing w:after="160" w:line="276"/>
            </w:pPr>
            <w:r>
              <w:rPr>
                <w:sz w:val="22"/>
                <w:szCs w:val="22"/>
              </w:rPr>
              <w:t xml:space="preserve">2C:C8:1B:DA:8A:44</w:t>
            </w:r>
          </w:p>
        </w:tc>
        <w:tc>
          <w:tcPr>
            <w:tcMar>
              <w:top w:type="dxa" w:w="100"/>
              <w:left w:type="dxa" w:w="120"/>
              <w:bottom w:type="dxa" w:w="100"/>
              <w:right w:type="dxa" w:w="120"/>
            </w:tcMar>
            <w:vAlign w:val="center"/>
          </w:tcPr>
          <w:p>
            <w:pPr>
              <w:spacing w:after="160" w:line="276"/>
            </w:pPr>
            <w:r>
              <w:rPr>
                <w:sz w:val="22"/>
                <w:szCs w:val="22"/>
              </w:rPr>
              <w:t xml:space="preserve">Routerboard.com (MikroTik)</w:t>
            </w:r>
          </w:p>
        </w:tc>
      </w:tr>
      <w:tr>
        <w:tc>
          <w:tcPr>
            <w:tcMar>
              <w:top w:type="dxa" w:w="100"/>
              <w:left w:type="dxa" w:w="120"/>
              <w:bottom w:type="dxa" w:w="100"/>
              <w:right w:type="dxa" w:w="120"/>
            </w:tcMar>
            <w:vAlign w:val="center"/>
          </w:tcPr>
          <w:p>
            <w:pPr>
              <w:spacing w:after="160" w:line="276"/>
            </w:pPr>
            <w:r>
              <w:rPr>
                <w:sz w:val="22"/>
                <w:szCs w:val="22"/>
              </w:rPr>
              <w:t xml:space="preserve">192.168.3.61</w:t>
            </w:r>
          </w:p>
        </w:tc>
        <w:tc>
          <w:tcPr>
            <w:tcMar>
              <w:top w:type="dxa" w:w="100"/>
              <w:left w:type="dxa" w:w="120"/>
              <w:bottom w:type="dxa" w:w="100"/>
              <w:right w:type="dxa" w:w="120"/>
            </w:tcMar>
            <w:vAlign w:val="center"/>
          </w:tcPr>
          <w:p>
            <w:pPr>
              <w:spacing w:after="160" w:line="276"/>
            </w:pPr>
            <w:r>
              <w:rPr>
                <w:sz w:val="22"/>
                <w:szCs w:val="22"/>
              </w:rPr>
              <w:t xml:space="preserve">06:B6:E6:88:02:B8</w:t>
            </w:r>
          </w:p>
        </w:tc>
        <w:tc>
          <w:tcPr>
            <w:tcMar>
              <w:top w:type="dxa" w:w="100"/>
              <w:left w:type="dxa" w:w="120"/>
              <w:bottom w:type="dxa" w:w="100"/>
              <w:right w:type="dxa" w:w="120"/>
            </w:tcMar>
            <w:vAlign w:val="center"/>
          </w:tcPr>
          <w:p>
            <w:pPr>
              <w:spacing w:after="160" w:line="276"/>
            </w:pPr>
            <w:r>
              <w:rPr>
                <w:sz w:val="22"/>
                <w:szCs w:val="22"/>
              </w:rPr>
              <w:t xml:space="preserve">Unknown</w:t>
            </w:r>
          </w:p>
        </w:tc>
      </w:tr>
      <w:tr>
        <w:tc>
          <w:tcPr>
            <w:tcMar>
              <w:top w:type="dxa" w:w="100"/>
              <w:left w:type="dxa" w:w="120"/>
              <w:bottom w:type="dxa" w:w="100"/>
              <w:right w:type="dxa" w:w="120"/>
            </w:tcMar>
            <w:vAlign w:val="center"/>
          </w:tcPr>
          <w:p>
            <w:pPr>
              <w:spacing w:after="160" w:line="276"/>
            </w:pPr>
            <w:r>
              <w:rPr>
                <w:sz w:val="22"/>
                <w:szCs w:val="22"/>
              </w:rPr>
              <w:t xml:space="preserve">192.168.3.89</w:t>
            </w:r>
          </w:p>
        </w:tc>
        <w:tc>
          <w:tcPr>
            <w:tcMar>
              <w:top w:type="dxa" w:w="100"/>
              <w:left w:type="dxa" w:w="120"/>
              <w:bottom w:type="dxa" w:w="100"/>
              <w:right w:type="dxa" w:w="120"/>
            </w:tcMar>
            <w:vAlign w:val="center"/>
          </w:tcPr>
          <w:p>
            <w:pPr>
              <w:spacing w:after="160" w:line="276"/>
            </w:pPr>
            <w:r>
              <w:rPr>
                <w:sz w:val="22"/>
                <w:szCs w:val="22"/>
              </w:rPr>
              <w:t xml:space="preserve">BA:D2:CD:BE:5E:34</w:t>
            </w:r>
          </w:p>
        </w:tc>
        <w:tc>
          <w:tcPr>
            <w:tcMar>
              <w:top w:type="dxa" w:w="100"/>
              <w:left w:type="dxa" w:w="120"/>
              <w:bottom w:type="dxa" w:w="100"/>
              <w:right w:type="dxa" w:w="120"/>
            </w:tcMar>
            <w:vAlign w:val="center"/>
          </w:tcPr>
          <w:p>
            <w:pPr>
              <w:spacing w:after="160" w:line="276"/>
            </w:pPr>
            <w:r>
              <w:rPr>
                <w:sz w:val="22"/>
                <w:szCs w:val="22"/>
              </w:rPr>
              <w:t xml:space="preserve">Unknown</w:t>
            </w:r>
          </w:p>
        </w:tc>
      </w:tr>
      <w:tr>
        <w:tc>
          <w:tcPr>
            <w:tcMar>
              <w:top w:type="dxa" w:w="100"/>
              <w:left w:type="dxa" w:w="120"/>
              <w:bottom w:type="dxa" w:w="100"/>
              <w:right w:type="dxa" w:w="120"/>
            </w:tcMar>
            <w:vAlign w:val="center"/>
          </w:tcPr>
          <w:p>
            <w:pPr>
              <w:spacing w:after="160" w:line="276"/>
            </w:pPr>
            <w:r>
              <w:rPr>
                <w:sz w:val="22"/>
                <w:szCs w:val="22"/>
              </w:rPr>
              <w:t xml:space="preserve">192.168.3.104</w:t>
            </w:r>
          </w:p>
        </w:tc>
        <w:tc>
          <w:tcPr>
            <w:tcMar>
              <w:top w:type="dxa" w:w="100"/>
              <w:left w:type="dxa" w:w="120"/>
              <w:bottom w:type="dxa" w:w="100"/>
              <w:right w:type="dxa" w:w="120"/>
            </w:tcMar>
            <w:vAlign w:val="center"/>
          </w:tcPr>
          <w:p>
            <w:pPr>
              <w:spacing w:after="160" w:line="276"/>
            </w:pPr>
            <w:r>
              <w:rPr>
                <w:sz w:val="22"/>
                <w:szCs w:val="22"/>
              </w:rPr>
              <w:t xml:space="preserve">60:FF:9E:97:B0:FE</w:t>
            </w:r>
          </w:p>
        </w:tc>
        <w:tc>
          <w:tcPr>
            <w:tcMar>
              <w:top w:type="dxa" w:w="100"/>
              <w:left w:type="dxa" w:w="120"/>
              <w:bottom w:type="dxa" w:w="100"/>
              <w:right w:type="dxa" w:w="120"/>
            </w:tcMar>
            <w:vAlign w:val="center"/>
          </w:tcPr>
          <w:p>
            <w:pPr>
              <w:spacing w:after="160" w:line="276"/>
            </w:pPr>
            <w:r>
              <w:rPr>
                <w:sz w:val="22"/>
                <w:szCs w:val="22"/>
              </w:rPr>
              <w:t xml:space="preserve">AzureWave Technology</w:t>
            </w:r>
          </w:p>
        </w:tc>
      </w:tr>
      <w:tr>
        <w:tc>
          <w:tcPr>
            <w:tcMar>
              <w:top w:type="dxa" w:w="100"/>
              <w:left w:type="dxa" w:w="120"/>
              <w:bottom w:type="dxa" w:w="100"/>
              <w:right w:type="dxa" w:w="120"/>
            </w:tcMar>
            <w:vAlign w:val="center"/>
          </w:tcPr>
          <w:p>
            <w:pPr>
              <w:spacing w:after="160" w:line="276"/>
            </w:pPr>
            <w:r>
              <w:rPr>
                <w:sz w:val="22"/>
                <w:szCs w:val="22"/>
              </w:rPr>
              <w:t xml:space="preserve">192.168.3.128</w:t>
            </w:r>
          </w:p>
        </w:tc>
        <w:tc>
          <w:tcPr>
            <w:tcMar>
              <w:top w:type="dxa" w:w="100"/>
              <w:left w:type="dxa" w:w="120"/>
              <w:bottom w:type="dxa" w:w="100"/>
              <w:right w:type="dxa" w:w="120"/>
            </w:tcMar>
            <w:vAlign w:val="center"/>
          </w:tcPr>
          <w:p>
            <w:pPr>
              <w:spacing w:after="160" w:line="276"/>
            </w:pPr>
            <w:r>
              <w:rPr>
                <w:sz w:val="22"/>
                <w:szCs w:val="22"/>
              </w:rPr>
              <w:t xml:space="preserve">46:DD:F4:EA:EC:14</w:t>
            </w:r>
          </w:p>
        </w:tc>
        <w:tc>
          <w:tcPr>
            <w:tcMar>
              <w:top w:type="dxa" w:w="100"/>
              <w:left w:type="dxa" w:w="120"/>
              <w:bottom w:type="dxa" w:w="100"/>
              <w:right w:type="dxa" w:w="120"/>
            </w:tcMar>
            <w:vAlign w:val="center"/>
          </w:tcPr>
          <w:p>
            <w:pPr>
              <w:spacing w:after="160" w:line="276"/>
            </w:pPr>
            <w:r>
              <w:rPr>
                <w:sz w:val="22"/>
                <w:szCs w:val="22"/>
              </w:rPr>
              <w:t xml:space="preserve">Unknown</w:t>
            </w:r>
          </w:p>
        </w:tc>
      </w:tr>
      <w:tr>
        <w:tc>
          <w:tcPr>
            <w:tcMar>
              <w:top w:type="dxa" w:w="100"/>
              <w:left w:type="dxa" w:w="120"/>
              <w:bottom w:type="dxa" w:w="100"/>
              <w:right w:type="dxa" w:w="120"/>
            </w:tcMar>
            <w:vAlign w:val="center"/>
          </w:tcPr>
          <w:p>
            <w:pPr>
              <w:spacing w:after="160" w:line="276"/>
            </w:pPr>
            <w:r>
              <w:rPr>
                <w:sz w:val="22"/>
                <w:szCs w:val="22"/>
              </w:rPr>
              <w:t xml:space="preserve">192.168.3.129</w:t>
            </w:r>
          </w:p>
        </w:tc>
        <w:tc>
          <w:tcPr>
            <w:tcMar>
              <w:top w:type="dxa" w:w="100"/>
              <w:left w:type="dxa" w:w="120"/>
              <w:bottom w:type="dxa" w:w="100"/>
              <w:right w:type="dxa" w:w="120"/>
            </w:tcMar>
            <w:vAlign w:val="center"/>
          </w:tcPr>
          <w:p>
            <w:pPr>
              <w:spacing w:after="160" w:line="276"/>
            </w:pPr>
            <w:r>
              <w:rPr>
                <w:sz w:val="22"/>
                <w:szCs w:val="22"/>
              </w:rPr>
              <w:t xml:space="preserve">76:F5:CB:1C:B1:DD</w:t>
            </w:r>
          </w:p>
        </w:tc>
        <w:tc>
          <w:tcPr>
            <w:tcMar>
              <w:top w:type="dxa" w:w="100"/>
              <w:left w:type="dxa" w:w="120"/>
              <w:bottom w:type="dxa" w:w="100"/>
              <w:right w:type="dxa" w:w="120"/>
            </w:tcMar>
            <w:vAlign w:val="center"/>
          </w:tcPr>
          <w:p>
            <w:pPr>
              <w:spacing w:after="160" w:line="276"/>
            </w:pPr>
            <w:r>
              <w:rPr>
                <w:sz w:val="22"/>
                <w:szCs w:val="22"/>
              </w:rPr>
              <w:t xml:space="preserve">Unknown</w:t>
            </w:r>
          </w:p>
        </w:tc>
      </w:tr>
      <w:tr>
        <w:tc>
          <w:tcPr>
            <w:tcMar>
              <w:top w:type="dxa" w:w="100"/>
              <w:left w:type="dxa" w:w="120"/>
              <w:bottom w:type="dxa" w:w="100"/>
              <w:right w:type="dxa" w:w="120"/>
            </w:tcMar>
            <w:vAlign w:val="center"/>
          </w:tcPr>
          <w:p>
            <w:pPr>
              <w:spacing w:after="160" w:line="276"/>
            </w:pPr>
            <w:r>
              <w:rPr>
                <w:sz w:val="22"/>
                <w:szCs w:val="22"/>
              </w:rPr>
              <w:t xml:space="preserve">192.168.3.136</w:t>
            </w:r>
          </w:p>
        </w:tc>
        <w:tc>
          <w:tcPr>
            <w:tcMar>
              <w:top w:type="dxa" w:w="100"/>
              <w:left w:type="dxa" w:w="120"/>
              <w:bottom w:type="dxa" w:w="100"/>
              <w:right w:type="dxa" w:w="120"/>
            </w:tcMar>
            <w:vAlign w:val="center"/>
          </w:tcPr>
          <w:p>
            <w:pPr>
              <w:spacing w:after="160" w:line="276"/>
            </w:pPr>
            <w:r>
              <w:rPr>
                <w:sz w:val="22"/>
                <w:szCs w:val="22"/>
              </w:rPr>
              <w:t xml:space="preserve">EA:BF:17:5B:0E:ED</w:t>
            </w:r>
          </w:p>
        </w:tc>
        <w:tc>
          <w:tcPr>
            <w:tcMar>
              <w:top w:type="dxa" w:w="100"/>
              <w:left w:type="dxa" w:w="120"/>
              <w:bottom w:type="dxa" w:w="100"/>
              <w:right w:type="dxa" w:w="120"/>
            </w:tcMar>
            <w:vAlign w:val="center"/>
          </w:tcPr>
          <w:p>
            <w:pPr>
              <w:spacing w:after="160" w:line="276"/>
            </w:pPr>
            <w:r>
              <w:rPr>
                <w:sz w:val="22"/>
                <w:szCs w:val="22"/>
              </w:rPr>
              <w:t xml:space="preserve">Unknown</w:t>
            </w:r>
          </w:p>
        </w:tc>
      </w:tr>
      <w:tr>
        <w:tc>
          <w:tcPr>
            <w:tcMar>
              <w:top w:type="dxa" w:w="100"/>
              <w:left w:type="dxa" w:w="120"/>
              <w:bottom w:type="dxa" w:w="100"/>
              <w:right w:type="dxa" w:w="120"/>
            </w:tcMar>
            <w:vAlign w:val="center"/>
          </w:tcPr>
          <w:p>
            <w:pPr>
              <w:spacing w:after="160" w:line="276"/>
            </w:pPr>
            <w:r>
              <w:rPr>
                <w:sz w:val="22"/>
                <w:szCs w:val="22"/>
              </w:rPr>
              <w:t xml:space="preserve">192.168.3.144</w:t>
            </w:r>
          </w:p>
        </w:tc>
        <w:tc>
          <w:tcPr>
            <w:tcMar>
              <w:top w:type="dxa" w:w="100"/>
              <w:left w:type="dxa" w:w="120"/>
              <w:bottom w:type="dxa" w:w="100"/>
              <w:right w:type="dxa" w:w="120"/>
            </w:tcMar>
            <w:vAlign w:val="center"/>
          </w:tcPr>
          <w:p>
            <w:pPr>
              <w:spacing w:after="160" w:line="276"/>
            </w:pPr>
            <w:r>
              <w:rPr>
                <w:sz w:val="22"/>
                <w:szCs w:val="22"/>
              </w:rPr>
              <w:t xml:space="preserve">06:B1:C3:D5:80:6A</w:t>
            </w:r>
          </w:p>
        </w:tc>
        <w:tc>
          <w:tcPr>
            <w:tcMar>
              <w:top w:type="dxa" w:w="100"/>
              <w:left w:type="dxa" w:w="120"/>
              <w:bottom w:type="dxa" w:w="100"/>
              <w:right w:type="dxa" w:w="120"/>
            </w:tcMar>
            <w:vAlign w:val="center"/>
          </w:tcPr>
          <w:p>
            <w:pPr>
              <w:spacing w:after="160" w:line="276"/>
            </w:pPr>
            <w:r>
              <w:rPr>
                <w:sz w:val="22"/>
                <w:szCs w:val="22"/>
              </w:rPr>
              <w:t xml:space="preserve">Unknown</w:t>
            </w:r>
          </w:p>
        </w:tc>
      </w:tr>
      <w:tr>
        <w:tc>
          <w:tcPr>
            <w:tcMar>
              <w:top w:type="dxa" w:w="100"/>
              <w:left w:type="dxa" w:w="120"/>
              <w:bottom w:type="dxa" w:w="100"/>
              <w:right w:type="dxa" w:w="120"/>
            </w:tcMar>
            <w:vAlign w:val="center"/>
          </w:tcPr>
          <w:p>
            <w:pPr>
              <w:spacing w:after="160" w:line="276"/>
            </w:pPr>
            <w:r>
              <w:rPr>
                <w:sz w:val="22"/>
                <w:szCs w:val="22"/>
              </w:rPr>
              <w:t xml:space="preserve">192.168.3.155</w:t>
            </w:r>
          </w:p>
        </w:tc>
        <w:tc>
          <w:tcPr>
            <w:tcMar>
              <w:top w:type="dxa" w:w="100"/>
              <w:left w:type="dxa" w:w="120"/>
              <w:bottom w:type="dxa" w:w="100"/>
              <w:right w:type="dxa" w:w="120"/>
            </w:tcMar>
            <w:vAlign w:val="center"/>
          </w:tcPr>
          <w:p>
            <w:pPr>
              <w:spacing w:after="160" w:line="276"/>
            </w:pPr>
            <w:r>
              <w:rPr>
                <w:sz w:val="22"/>
                <w:szCs w:val="22"/>
              </w:rPr>
              <w:t xml:space="preserve">8E:E0:D2:DE:2B:53</w:t>
            </w:r>
          </w:p>
        </w:tc>
        <w:tc>
          <w:tcPr>
            <w:tcMar>
              <w:top w:type="dxa" w:w="100"/>
              <w:left w:type="dxa" w:w="120"/>
              <w:bottom w:type="dxa" w:w="100"/>
              <w:right w:type="dxa" w:w="120"/>
            </w:tcMar>
            <w:vAlign w:val="center"/>
          </w:tcPr>
          <w:p>
            <w:pPr>
              <w:spacing w:after="160" w:line="276"/>
            </w:pPr>
            <w:r>
              <w:rPr>
                <w:sz w:val="22"/>
                <w:szCs w:val="22"/>
              </w:rPr>
              <w:t xml:space="preserve">Unknown</w:t>
            </w:r>
          </w:p>
        </w:tc>
      </w:tr>
      <w:tr>
        <w:tc>
          <w:tcPr>
            <w:tcMar>
              <w:top w:type="dxa" w:w="100"/>
              <w:left w:type="dxa" w:w="120"/>
              <w:bottom w:type="dxa" w:w="100"/>
              <w:right w:type="dxa" w:w="120"/>
            </w:tcMar>
            <w:vAlign w:val="center"/>
          </w:tcPr>
          <w:p>
            <w:pPr>
              <w:spacing w:after="160" w:line="276"/>
            </w:pPr>
            <w:r>
              <w:rPr>
                <w:sz w:val="22"/>
                <w:szCs w:val="22"/>
              </w:rPr>
              <w:t xml:space="preserve">192.168.3.159</w:t>
            </w:r>
          </w:p>
        </w:tc>
        <w:tc>
          <w:tcPr>
            <w:tcMar>
              <w:top w:type="dxa" w:w="100"/>
              <w:left w:type="dxa" w:w="120"/>
              <w:bottom w:type="dxa" w:w="100"/>
              <w:right w:type="dxa" w:w="120"/>
            </w:tcMar>
            <w:vAlign w:val="center"/>
          </w:tcPr>
          <w:p>
            <w:pPr>
              <w:spacing w:after="160" w:line="276"/>
            </w:pPr>
            <w:r>
              <w:rPr>
                <w:sz w:val="22"/>
                <w:szCs w:val="22"/>
              </w:rPr>
              <w:t xml:space="preserve">BA:F6:90:69:86:A0</w:t>
            </w:r>
          </w:p>
        </w:tc>
        <w:tc>
          <w:tcPr>
            <w:tcMar>
              <w:top w:type="dxa" w:w="100"/>
              <w:left w:type="dxa" w:w="120"/>
              <w:bottom w:type="dxa" w:w="100"/>
              <w:right w:type="dxa" w:w="120"/>
            </w:tcMar>
            <w:vAlign w:val="center"/>
          </w:tcPr>
          <w:p>
            <w:pPr>
              <w:spacing w:after="160" w:line="276"/>
            </w:pPr>
            <w:r>
              <w:rPr>
                <w:sz w:val="22"/>
                <w:szCs w:val="22"/>
              </w:rPr>
              <w:t xml:space="preserve">Unknown</w:t>
            </w:r>
          </w:p>
        </w:tc>
      </w:tr>
      <w:tr>
        <w:tc>
          <w:tcPr>
            <w:tcMar>
              <w:top w:type="dxa" w:w="100"/>
              <w:left w:type="dxa" w:w="120"/>
              <w:bottom w:type="dxa" w:w="100"/>
              <w:right w:type="dxa" w:w="120"/>
            </w:tcMar>
            <w:vAlign w:val="center"/>
          </w:tcPr>
          <w:p>
            <w:pPr>
              <w:spacing w:after="160" w:line="276"/>
            </w:pPr>
            <w:r>
              <w:rPr>
                <w:sz w:val="22"/>
                <w:szCs w:val="22"/>
              </w:rPr>
              <w:t xml:space="preserve">192.168.3.162</w:t>
            </w:r>
          </w:p>
        </w:tc>
        <w:tc>
          <w:tcPr>
            <w:tcMar>
              <w:top w:type="dxa" w:w="100"/>
              <w:left w:type="dxa" w:w="120"/>
              <w:bottom w:type="dxa" w:w="100"/>
              <w:right w:type="dxa" w:w="120"/>
            </w:tcMar>
            <w:vAlign w:val="center"/>
          </w:tcPr>
          <w:p>
            <w:pPr>
              <w:spacing w:after="160" w:line="276"/>
            </w:pPr>
            <w:r>
              <w:rPr>
                <w:sz w:val="22"/>
                <w:szCs w:val="22"/>
              </w:rPr>
              <w:t xml:space="preserve">A6:12:82:5D:9B:11</w:t>
            </w:r>
          </w:p>
        </w:tc>
        <w:tc>
          <w:tcPr>
            <w:tcMar>
              <w:top w:type="dxa" w:w="100"/>
              <w:left w:type="dxa" w:w="120"/>
              <w:bottom w:type="dxa" w:w="100"/>
              <w:right w:type="dxa" w:w="120"/>
            </w:tcMar>
            <w:vAlign w:val="center"/>
          </w:tcPr>
          <w:p>
            <w:pPr>
              <w:spacing w:after="160" w:line="276"/>
            </w:pPr>
            <w:r>
              <w:rPr>
                <w:sz w:val="22"/>
                <w:szCs w:val="22"/>
              </w:rPr>
              <w:t xml:space="preserve">Intel Corporate</w:t>
            </w:r>
          </w:p>
        </w:tc>
      </w:tr>
    </w:tbl>
    <w:p>
      <w:pPr>
        <w:spacing w:after="160" w:line="276"/>
      </w:pPr>
      <w:r>
        <w:rPr>
          <w:sz w:val="22"/>
          <w:szCs w:val="22"/>
        </w:rPr>
        <w:t xml:space="preserve"/>
      </w:r>
    </w:p>
    <w:p>
      <w:pPr>
        <w:spacing w:after="160" w:line="276"/>
      </w:pPr>
      <w:r>
        <w:rPr>
          <w:sz w:val="22"/>
          <w:szCs w:val="22"/>
        </w:rPr>
        <w:t xml:space="preserve">Remaining discovered hosts (visible in the Zenmap Hosts panel and the topology diagram): 192.168.3.56, .128, .136, .144, .155, .159, .162, .173, .174, .175, .176, .179, .183, .196, .211, .227, .230, .249 and .253 — 25 live hosts in total.</w:t>
      </w:r>
    </w:p>
    <w:p>
      <w:pPr>
        <w:pStyle w:val="Heading3"/>
        <w:spacing w:after="100" w:before="200"/>
      </w:pPr>
      <w:r>
        <w:rPr>
          <w:b/>
          <w:bCs/>
          <w:color w:val="333333"/>
          <w:sz w:val="22"/>
          <w:szCs w:val="22"/>
        </w:rPr>
        <w:t xml:space="preserve">6.5.4 Network Topology</w:t>
      </w:r>
    </w:p>
    <w:p>
      <w:pPr>
        <w:spacing w:after="160" w:line="276"/>
      </w:pPr>
      <w:r>
        <w:rPr>
          <w:sz w:val="22"/>
          <w:szCs w:val="22"/>
        </w:rPr>
        <w:t xml:space="preserve">The Topology tab was opened in Zenmap, the legend was enabled, and the resulting host graph was exported and saved as a PDF, as required by the practical task.</w:t>
      </w:r>
    </w:p>
    <w:p>
      <w:pPr>
        <w:spacing w:after="60" w:before="160"/>
        <w:jc w:val="center"/>
      </w:pPr>
      <w:r>
        <w:drawing>
          <wp:inline distT="0" distB="0" distL="0" distR="0">
            <wp:extent cx="54864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648075"/>
                    </a:xfrm>
                    <a:prstGeom prst="rect">
                      <a:avLst/>
                    </a:prstGeom>
                  </pic:spPr>
                </pic:pic>
              </a:graphicData>
            </a:graphic>
          </wp:inline>
        </w:drawing>
      </w:r>
    </w:p>
    <w:p>
      <w:pPr>
        <w:spacing w:after="260" w:before="60"/>
        <w:jc w:val="center"/>
      </w:pPr>
      <w:r>
        <w:rPr>
          <w:i/>
          <w:iCs/>
          <w:color w:val="595959"/>
          <w:sz w:val="18"/>
          <w:szCs w:val="18"/>
        </w:rPr>
        <w:t xml:space="preserve">Figure 11 – Zenmap network topology of the 192.168.3.0/24 subnet (25 live hosts around localhost)</w:t>
      </w:r>
    </w:p>
    <w:p>
      <w:pPr>
        <w:spacing w:after="160" w:line="276"/>
      </w:pPr>
      <w:r>
        <w:rPr>
          <w:b/>
          <w:bCs/>
        </w:rPr>
        <w:t xml:space="preserve">Attacker's perspective: </w:t>
      </w:r>
      <w:r>
        <w:t xml:space="preserve">a ping scan alone reveals every live device on the network and, from ARP responses, its MAC address and hardware vendor. This is enough to fingerprint the presence of routers/gateways (MikroTik devices identified by name), Intel-based PCs, and AzureWave-chipset devices (typically Wi-Fi/IoT modules), and to spot any host that should not be on the network at all — all before a single port has been probed.</w:t>
      </w:r>
    </w:p>
    <w:p>
      <w:r>
        <w:br w:type="page"/>
      </w:r>
    </w:p>
    <w:p>
      <w:pPr>
        <w:pStyle w:val="Heading1"/>
        <w:pBdr>
          <w:bottom w:val="single" w:color="1F3864" w:sz="8" w:space="4"/>
        </w:pBdr>
        <w:spacing w:after="160" w:before="360"/>
      </w:pPr>
      <w:r>
        <w:rPr>
          <w:b/>
          <w:bCs/>
          <w:color w:val="1F3864"/>
          <w:sz w:val="30"/>
          <w:szCs w:val="30"/>
        </w:rPr>
        <w:t xml:space="preserve">7. Consolidated Findings Summary</w:t>
      </w:r>
    </w:p>
    <w:p>
      <w:pPr>
        <w:spacing w:after="160" w:line="276"/>
      </w:pPr>
      <w:r>
        <w:rPr>
          <w:sz w:val="22"/>
          <w:szCs w:val="22"/>
        </w:rPr>
        <w:t xml:space="preserve">The table below consolidates the key technical findings from all five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3888"/>
      </w:tblGrid>
      <w:tr>
        <w:tc>
          <w:tcPr>
            <w:shd w:fill="1F3864" w:val="clear"/>
            <w:tcMar>
              <w:top w:type="dxa" w:w="100"/>
              <w:left w:type="dxa" w:w="120"/>
              <w:bottom w:type="dxa" w:w="100"/>
              <w:right w:type="dxa" w:w="120"/>
            </w:tcMar>
            <w:vAlign w:val="center"/>
          </w:tcPr>
          <w:p>
            <w:r>
              <w:rPr>
                <w:b/>
                <w:bCs/>
                <w:color w:val="FFFFFF"/>
                <w:sz w:val="20"/>
                <w:szCs w:val="20"/>
              </w:rPr>
              <w:t xml:space="preserve">Module</w:t>
            </w:r>
          </w:p>
        </w:tc>
        <w:tc>
          <w:tcPr>
            <w:shd w:fill="1F3864" w:val="clear"/>
            <w:tcMar>
              <w:top w:type="dxa" w:w="100"/>
              <w:left w:type="dxa" w:w="120"/>
              <w:bottom w:type="dxa" w:w="100"/>
              <w:right w:type="dxa" w:w="120"/>
            </w:tcMar>
            <w:vAlign w:val="center"/>
          </w:tcPr>
          <w:p>
            <w:r>
              <w:rPr>
                <w:b/>
                <w:bCs/>
                <w:color w:val="FFFFFF"/>
                <w:sz w:val="20"/>
                <w:szCs w:val="20"/>
              </w:rPr>
              <w:t xml:space="preserve">Tool</w:t>
            </w:r>
          </w:p>
        </w:tc>
        <w:tc>
          <w:tcPr>
            <w:shd w:fill="1F3864" w:val="clear"/>
            <w:tcMar>
              <w:top w:type="dxa" w:w="100"/>
              <w:left w:type="dxa" w:w="120"/>
              <w:bottom w:type="dxa" w:w="100"/>
              <w:right w:type="dxa" w:w="120"/>
            </w:tcMar>
            <w:vAlign w:val="center"/>
          </w:tcPr>
          <w:p>
            <w:r>
              <w:rPr>
                <w:b/>
                <w:bCs/>
                <w:color w:val="FFFFFF"/>
                <w:sz w:val="20"/>
                <w:szCs w:val="20"/>
              </w:rPr>
              <w:t xml:space="preserve">Key Finding</w:t>
            </w:r>
          </w:p>
        </w:tc>
      </w:tr>
      <w:tr>
        <w:tc>
          <w:tcPr>
            <w:tcMar>
              <w:top w:type="dxa" w:w="100"/>
              <w:left w:type="dxa" w:w="120"/>
              <w:bottom w:type="dxa" w:w="100"/>
              <w:right w:type="dxa" w:w="120"/>
            </w:tcMar>
            <w:vAlign w:val="center"/>
          </w:tcPr>
          <w:p>
            <w:pPr>
              <w:spacing w:after="160" w:line="276"/>
            </w:pPr>
            <w:r>
              <w:rPr>
                <w:sz w:val="22"/>
                <w:szCs w:val="22"/>
              </w:rPr>
              <w:t xml:space="preserve">PM1</w:t>
            </w:r>
          </w:p>
        </w:tc>
        <w:tc>
          <w:tcPr>
            <w:tcMar>
              <w:top w:type="dxa" w:w="100"/>
              <w:left w:type="dxa" w:w="120"/>
              <w:bottom w:type="dxa" w:w="100"/>
              <w:right w:type="dxa" w:w="120"/>
            </w:tcMar>
            <w:vAlign w:val="center"/>
          </w:tcPr>
          <w:p>
            <w:pPr>
              <w:spacing w:after="160" w:line="276"/>
            </w:pPr>
            <w:r>
              <w:rPr>
                <w:sz w:val="22"/>
                <w:szCs w:val="22"/>
              </w:rPr>
              <w:t xml:space="preserve">WHOIS</w:t>
            </w:r>
          </w:p>
        </w:tc>
        <w:tc>
          <w:tcPr>
            <w:tcMar>
              <w:top w:type="dxa" w:w="100"/>
              <w:left w:type="dxa" w:w="120"/>
              <w:bottom w:type="dxa" w:w="100"/>
              <w:right w:type="dxa" w:w="120"/>
            </w:tcMar>
            <w:vAlign w:val="center"/>
          </w:tcPr>
          <w:p>
            <w:pPr>
              <w:spacing w:after="160" w:line="276"/>
            </w:pPr>
            <w:r>
              <w:rPr>
                <w:sz w:val="22"/>
                <w:szCs w:val="22"/>
              </w:rPr>
              <w:t xml:space="preserve">Domain hosted via GoDaddy/HostGator; privacy-protected registrant; DNSSEC unsigned</w:t>
            </w:r>
          </w:p>
        </w:tc>
      </w:tr>
      <w:tr>
        <w:tc>
          <w:tcPr>
            <w:tcMar>
              <w:top w:type="dxa" w:w="100"/>
              <w:left w:type="dxa" w:w="120"/>
              <w:bottom w:type="dxa" w:w="100"/>
              <w:right w:type="dxa" w:w="120"/>
            </w:tcMar>
            <w:vAlign w:val="center"/>
          </w:tcPr>
          <w:p>
            <w:pPr>
              <w:spacing w:after="160" w:line="276"/>
            </w:pPr>
            <w:r>
              <w:rPr>
                <w:sz w:val="22"/>
                <w:szCs w:val="22"/>
              </w:rPr>
              <w:t xml:space="preserve">PM1</w:t>
            </w:r>
          </w:p>
        </w:tc>
        <w:tc>
          <w:tcPr>
            <w:tcMar>
              <w:top w:type="dxa" w:w="100"/>
              <w:left w:type="dxa" w:w="120"/>
              <w:bottom w:type="dxa" w:w="100"/>
              <w:right w:type="dxa" w:w="120"/>
            </w:tcMar>
            <w:vAlign w:val="center"/>
          </w:tcPr>
          <w:p>
            <w:pPr>
              <w:spacing w:after="160" w:line="276"/>
            </w:pPr>
            <w:r>
              <w:rPr>
                <w:sz w:val="22"/>
                <w:szCs w:val="22"/>
              </w:rPr>
              <w:t xml:space="preserve">WhatWeb</w:t>
            </w:r>
          </w:p>
        </w:tc>
        <w:tc>
          <w:tcPr>
            <w:tcMar>
              <w:top w:type="dxa" w:w="100"/>
              <w:left w:type="dxa" w:w="120"/>
              <w:bottom w:type="dxa" w:w="100"/>
              <w:right w:type="dxa" w:w="120"/>
            </w:tcMar>
            <w:vAlign w:val="center"/>
          </w:tcPr>
          <w:p>
            <w:pPr>
              <w:spacing w:after="160" w:line="276"/>
            </w:pPr>
            <w:r>
              <w:rPr>
                <w:sz w:val="22"/>
                <w:szCs w:val="22"/>
              </w:rPr>
              <w:t xml:space="preserve">WordPress 7.0.4 + WP Download Manager 3.3.58 on Apache; server IP and contact email exposed</w:t>
            </w:r>
          </w:p>
        </w:tc>
      </w:tr>
      <w:tr>
        <w:tc>
          <w:tcPr>
            <w:tcMar>
              <w:top w:type="dxa" w:w="100"/>
              <w:left w:type="dxa" w:w="120"/>
              <w:bottom w:type="dxa" w:w="100"/>
              <w:right w:type="dxa" w:w="120"/>
            </w:tcMar>
            <w:vAlign w:val="center"/>
          </w:tcPr>
          <w:p>
            <w:pPr>
              <w:spacing w:after="160" w:line="276"/>
            </w:pPr>
            <w:r>
              <w:rPr>
                <w:sz w:val="22"/>
                <w:szCs w:val="22"/>
              </w:rPr>
              <w:t xml:space="preserve">PM1</w:t>
            </w:r>
          </w:p>
        </w:tc>
        <w:tc>
          <w:tcPr>
            <w:tcMar>
              <w:top w:type="dxa" w:w="100"/>
              <w:left w:type="dxa" w:w="120"/>
              <w:bottom w:type="dxa" w:w="100"/>
              <w:right w:type="dxa" w:w="120"/>
            </w:tcMar>
            <w:vAlign w:val="center"/>
          </w:tcPr>
          <w:p>
            <w:pPr>
              <w:spacing w:after="160" w:line="276"/>
            </w:pPr>
            <w:r>
              <w:rPr>
                <w:sz w:val="22"/>
                <w:szCs w:val="22"/>
              </w:rPr>
              <w:t xml:space="preserve">Nslookup</w:t>
            </w:r>
          </w:p>
        </w:tc>
        <w:tc>
          <w:tcPr>
            <w:tcMar>
              <w:top w:type="dxa" w:w="100"/>
              <w:left w:type="dxa" w:w="120"/>
              <w:bottom w:type="dxa" w:w="100"/>
              <w:right w:type="dxa" w:w="120"/>
            </w:tcMar>
            <w:vAlign w:val="center"/>
          </w:tcPr>
          <w:p>
            <w:pPr>
              <w:spacing w:after="160" w:line="276"/>
            </w:pPr>
            <w:r>
              <w:rPr>
                <w:sz w:val="22"/>
                <w:szCs w:val="22"/>
              </w:rPr>
              <w:t xml:space="preserve">Domain resolves to 192.232.216.135</w:t>
            </w:r>
          </w:p>
        </w:tc>
      </w:tr>
      <w:tr>
        <w:tc>
          <w:tcPr>
            <w:tcMar>
              <w:top w:type="dxa" w:w="100"/>
              <w:left w:type="dxa" w:w="120"/>
              <w:bottom w:type="dxa" w:w="100"/>
              <w:right w:type="dxa" w:w="120"/>
            </w:tcMar>
            <w:vAlign w:val="center"/>
          </w:tcPr>
          <w:p>
            <w:pPr>
              <w:spacing w:after="160" w:line="276"/>
            </w:pPr>
            <w:r>
              <w:rPr>
                <w:sz w:val="22"/>
                <w:szCs w:val="22"/>
              </w:rPr>
              <w:t xml:space="preserve">PM1</w:t>
            </w:r>
          </w:p>
        </w:tc>
        <w:tc>
          <w:tcPr>
            <w:tcMar>
              <w:top w:type="dxa" w:w="100"/>
              <w:left w:type="dxa" w:w="120"/>
              <w:bottom w:type="dxa" w:w="100"/>
              <w:right w:type="dxa" w:w="120"/>
            </w:tcMar>
            <w:vAlign w:val="center"/>
          </w:tcPr>
          <w:p>
            <w:pPr>
              <w:spacing w:after="160" w:line="276"/>
            </w:pPr>
            <w:r>
              <w:rPr>
                <w:sz w:val="22"/>
                <w:szCs w:val="22"/>
              </w:rPr>
              <w:t xml:space="preserve">Curl -I</w:t>
            </w:r>
          </w:p>
        </w:tc>
        <w:tc>
          <w:tcPr>
            <w:tcMar>
              <w:top w:type="dxa" w:w="100"/>
              <w:left w:type="dxa" w:w="120"/>
              <w:bottom w:type="dxa" w:w="100"/>
              <w:right w:type="dxa" w:w="120"/>
            </w:tcMar>
            <w:vAlign w:val="center"/>
          </w:tcPr>
          <w:p>
            <w:pPr>
              <w:spacing w:after="160" w:line="276"/>
            </w:pPr>
            <w:r>
              <w:rPr>
                <w:sz w:val="22"/>
                <w:szCs w:val="22"/>
              </w:rPr>
              <w:t xml:space="preserve">Really Simple Security plugin and caching layer identified via response headers</w:t>
            </w:r>
          </w:p>
        </w:tc>
      </w:tr>
      <w:tr>
        <w:tc>
          <w:tcPr>
            <w:tcMar>
              <w:top w:type="dxa" w:w="100"/>
              <w:left w:type="dxa" w:w="120"/>
              <w:bottom w:type="dxa" w:w="100"/>
              <w:right w:type="dxa" w:w="120"/>
            </w:tcMar>
            <w:vAlign w:val="center"/>
          </w:tcPr>
          <w:p>
            <w:pPr>
              <w:spacing w:after="160" w:line="276"/>
            </w:pPr>
            <w:r>
              <w:rPr>
                <w:sz w:val="22"/>
                <w:szCs w:val="22"/>
              </w:rPr>
              <w:t xml:space="preserve">PM1</w:t>
            </w:r>
          </w:p>
        </w:tc>
        <w:tc>
          <w:tcPr>
            <w:tcMar>
              <w:top w:type="dxa" w:w="100"/>
              <w:left w:type="dxa" w:w="120"/>
              <w:bottom w:type="dxa" w:w="100"/>
              <w:right w:type="dxa" w:w="120"/>
            </w:tcMar>
            <w:vAlign w:val="center"/>
          </w:tcPr>
          <w:p>
            <w:pPr>
              <w:spacing w:after="160" w:line="276"/>
            </w:pPr>
            <w:r>
              <w:rPr>
                <w:sz w:val="22"/>
                <w:szCs w:val="22"/>
              </w:rPr>
              <w:t xml:space="preserve">Wafw00f</w:t>
            </w:r>
          </w:p>
        </w:tc>
        <w:tc>
          <w:tcPr>
            <w:tcMar>
              <w:top w:type="dxa" w:w="100"/>
              <w:left w:type="dxa" w:w="120"/>
              <w:bottom w:type="dxa" w:w="100"/>
              <w:right w:type="dxa" w:w="120"/>
            </w:tcMar>
            <w:vAlign w:val="center"/>
          </w:tcPr>
          <w:p>
            <w:pPr>
              <w:spacing w:after="160" w:line="276"/>
            </w:pPr>
            <w:r>
              <w:rPr>
                <w:sz w:val="22"/>
                <w:szCs w:val="22"/>
              </w:rPr>
              <w:t xml:space="preserve">Protected by ModSecurity (SpiderLabs) WAF</w:t>
            </w:r>
          </w:p>
        </w:tc>
      </w:tr>
      <w:tr>
        <w:tc>
          <w:tcPr>
            <w:tcMar>
              <w:top w:type="dxa" w:w="100"/>
              <w:left w:type="dxa" w:w="120"/>
              <w:bottom w:type="dxa" w:w="100"/>
              <w:right w:type="dxa" w:w="120"/>
            </w:tcMar>
            <w:vAlign w:val="center"/>
          </w:tcPr>
          <w:p>
            <w:pPr>
              <w:spacing w:after="160" w:line="276"/>
            </w:pPr>
            <w:r>
              <w:rPr>
                <w:sz w:val="22"/>
                <w:szCs w:val="22"/>
              </w:rPr>
              <w:t xml:space="preserve">PM1</w:t>
            </w:r>
          </w:p>
        </w:tc>
        <w:tc>
          <w:tcPr>
            <w:tcMar>
              <w:top w:type="dxa" w:w="100"/>
              <w:left w:type="dxa" w:w="120"/>
              <w:bottom w:type="dxa" w:w="100"/>
              <w:right w:type="dxa" w:w="120"/>
            </w:tcMar>
            <w:vAlign w:val="center"/>
          </w:tcPr>
          <w:p>
            <w:pPr>
              <w:spacing w:after="160" w:line="276"/>
            </w:pPr>
            <w:r>
              <w:rPr>
                <w:sz w:val="22"/>
                <w:szCs w:val="22"/>
              </w:rPr>
              <w:t xml:space="preserve">DNSrecon</w:t>
            </w:r>
          </w:p>
        </w:tc>
        <w:tc>
          <w:tcPr>
            <w:tcMar>
              <w:top w:type="dxa" w:w="100"/>
              <w:left w:type="dxa" w:w="120"/>
              <w:bottom w:type="dxa" w:w="100"/>
              <w:right w:type="dxa" w:w="120"/>
            </w:tcMar>
            <w:vAlign w:val="center"/>
          </w:tcPr>
          <w:p>
            <w:pPr>
              <w:spacing w:after="160" w:line="276"/>
            </w:pPr>
            <w:r>
              <w:rPr>
                <w:sz w:val="22"/>
                <w:szCs w:val="22"/>
              </w:rPr>
              <w:t xml:space="preserve">8 DNS records enumerated incl. BIND version, SPF, and 8 autodiscover SRV records</w:t>
            </w:r>
          </w:p>
        </w:tc>
      </w:tr>
      <w:tr>
        <w:tc>
          <w:tcPr>
            <w:tcMar>
              <w:top w:type="dxa" w:w="100"/>
              <w:left w:type="dxa" w:w="120"/>
              <w:bottom w:type="dxa" w:w="100"/>
              <w:right w:type="dxa" w:w="120"/>
            </w:tcMar>
            <w:vAlign w:val="center"/>
          </w:tcPr>
          <w:p>
            <w:pPr>
              <w:spacing w:after="160" w:line="276"/>
            </w:pPr>
            <w:r>
              <w:rPr>
                <w:sz w:val="22"/>
                <w:szCs w:val="22"/>
              </w:rPr>
              <w:t xml:space="preserve">PM2</w:t>
            </w:r>
          </w:p>
        </w:tc>
        <w:tc>
          <w:tcPr>
            <w:tcMar>
              <w:top w:type="dxa" w:w="100"/>
              <w:left w:type="dxa" w:w="120"/>
              <w:bottom w:type="dxa" w:w="100"/>
              <w:right w:type="dxa" w:w="120"/>
            </w:tcMar>
            <w:vAlign w:val="center"/>
          </w:tcPr>
          <w:p>
            <w:pPr>
              <w:spacing w:after="160" w:line="276"/>
            </w:pPr>
            <w:r>
              <w:rPr>
                <w:sz w:val="22"/>
                <w:szCs w:val="22"/>
              </w:rPr>
              <w:t xml:space="preserve">GHDB / Google dorking</w:t>
            </w:r>
          </w:p>
        </w:tc>
        <w:tc>
          <w:tcPr>
            <w:tcMar>
              <w:top w:type="dxa" w:w="100"/>
              <w:left w:type="dxa" w:w="120"/>
              <w:bottom w:type="dxa" w:w="100"/>
              <w:right w:type="dxa" w:w="120"/>
            </w:tcMar>
            <w:vAlign w:val="center"/>
          </w:tcPr>
          <w:p>
            <w:pPr>
              <w:spacing w:after="160" w:line="276"/>
            </w:pPr>
            <w:r>
              <w:rPr>
                <w:sz w:val="22"/>
                <w:szCs w:val="22"/>
              </w:rPr>
              <w:t xml:space="preserve">10 internet-exposed live security cameras and 3 open PDF directory listings located via search operators</w:t>
            </w:r>
          </w:p>
        </w:tc>
      </w:tr>
      <w:tr>
        <w:tc>
          <w:tcPr>
            <w:tcMar>
              <w:top w:type="dxa" w:w="100"/>
              <w:left w:type="dxa" w:w="120"/>
              <w:bottom w:type="dxa" w:w="100"/>
              <w:right w:type="dxa" w:w="120"/>
            </w:tcMar>
            <w:vAlign w:val="center"/>
          </w:tcPr>
          <w:p>
            <w:pPr>
              <w:spacing w:after="160" w:line="276"/>
            </w:pPr>
            <w:r>
              <w:rPr>
                <w:sz w:val="22"/>
                <w:szCs w:val="22"/>
              </w:rPr>
              <w:t xml:space="preserve">PM3</w:t>
            </w:r>
          </w:p>
        </w:tc>
        <w:tc>
          <w:tcPr>
            <w:tcMar>
              <w:top w:type="dxa" w:w="100"/>
              <w:left w:type="dxa" w:w="120"/>
              <w:bottom w:type="dxa" w:w="100"/>
              <w:right w:type="dxa" w:w="120"/>
            </w:tcMar>
            <w:vAlign w:val="center"/>
          </w:tcPr>
          <w:p>
            <w:pPr>
              <w:spacing w:after="160" w:line="276"/>
            </w:pPr>
            <w:r>
              <w:rPr>
                <w:sz w:val="22"/>
                <w:szCs w:val="22"/>
              </w:rPr>
              <w:t xml:space="preserve">Maltego</w:t>
            </w:r>
          </w:p>
        </w:tc>
        <w:tc>
          <w:tcPr>
            <w:tcMar>
              <w:top w:type="dxa" w:w="100"/>
              <w:left w:type="dxa" w:w="120"/>
              <w:bottom w:type="dxa" w:w="100"/>
              <w:right w:type="dxa" w:w="120"/>
            </w:tcMar>
            <w:vAlign w:val="center"/>
          </w:tcPr>
          <w:p>
            <w:pPr>
              <w:spacing w:after="160" w:line="276"/>
            </w:pPr>
            <w:r>
              <w:rPr>
                <w:sz w:val="22"/>
                <w:szCs w:val="22"/>
              </w:rPr>
              <w:t xml:space="preserve">1 email (info@networkwalks.com) and 2 related URLs mapped via domain-to-email transform</w:t>
            </w:r>
          </w:p>
        </w:tc>
      </w:tr>
      <w:tr>
        <w:tc>
          <w:tcPr>
            <w:tcMar>
              <w:top w:type="dxa" w:w="100"/>
              <w:left w:type="dxa" w:w="120"/>
              <w:bottom w:type="dxa" w:w="100"/>
              <w:right w:type="dxa" w:w="120"/>
            </w:tcMar>
            <w:vAlign w:val="center"/>
          </w:tcPr>
          <w:p>
            <w:pPr>
              <w:spacing w:after="160" w:line="276"/>
            </w:pPr>
            <w:r>
              <w:rPr>
                <w:sz w:val="22"/>
                <w:szCs w:val="22"/>
              </w:rPr>
              <w:t xml:space="preserve">PM4</w:t>
            </w:r>
          </w:p>
        </w:tc>
        <w:tc>
          <w:tcPr>
            <w:tcMar>
              <w:top w:type="dxa" w:w="100"/>
              <w:left w:type="dxa" w:w="120"/>
              <w:bottom w:type="dxa" w:w="100"/>
              <w:right w:type="dxa" w:w="120"/>
            </w:tcMar>
            <w:vAlign w:val="center"/>
          </w:tcPr>
          <w:p>
            <w:pPr>
              <w:spacing w:after="160" w:line="276"/>
            </w:pPr>
            <w:r>
              <w:rPr>
                <w:sz w:val="22"/>
                <w:szCs w:val="22"/>
              </w:rPr>
              <w:t xml:space="preserve">theHarvester</w:t>
            </w:r>
          </w:p>
        </w:tc>
        <w:tc>
          <w:tcPr>
            <w:tcMar>
              <w:top w:type="dxa" w:w="100"/>
              <w:left w:type="dxa" w:w="120"/>
              <w:bottom w:type="dxa" w:w="100"/>
              <w:right w:type="dxa" w:w="120"/>
            </w:tcMar>
            <w:vAlign w:val="center"/>
          </w:tcPr>
          <w:p>
            <w:pPr>
              <w:spacing w:after="160" w:line="276"/>
            </w:pPr>
            <w:r>
              <w:rPr>
                <w:sz w:val="22"/>
                <w:szCs w:val="22"/>
              </w:rPr>
              <w:t xml:space="preserve">Up to 6 sub-domains and 3 emails harvested for microsoft.com from public sources; all-source mode limited by missing API keys</w:t>
            </w:r>
          </w:p>
        </w:tc>
      </w:tr>
      <w:tr>
        <w:tc>
          <w:tcPr>
            <w:tcMar>
              <w:top w:type="dxa" w:w="100"/>
              <w:left w:type="dxa" w:w="120"/>
              <w:bottom w:type="dxa" w:w="100"/>
              <w:right w:type="dxa" w:w="120"/>
            </w:tcMar>
            <w:vAlign w:val="center"/>
          </w:tcPr>
          <w:p>
            <w:pPr>
              <w:spacing w:after="160" w:line="276"/>
            </w:pPr>
            <w:r>
              <w:rPr>
                <w:sz w:val="22"/>
                <w:szCs w:val="22"/>
              </w:rPr>
              <w:t xml:space="preserve">PM5</w:t>
            </w:r>
          </w:p>
        </w:tc>
        <w:tc>
          <w:tcPr>
            <w:tcMar>
              <w:top w:type="dxa" w:w="100"/>
              <w:left w:type="dxa" w:w="120"/>
              <w:bottom w:type="dxa" w:w="100"/>
              <w:right w:type="dxa" w:w="120"/>
            </w:tcMar>
            <w:vAlign w:val="center"/>
          </w:tcPr>
          <w:p>
            <w:pPr>
              <w:spacing w:after="160" w:line="276"/>
            </w:pPr>
            <w:r>
              <w:rPr>
                <w:sz w:val="22"/>
                <w:szCs w:val="22"/>
              </w:rPr>
              <w:t xml:space="preserve">Zenmap</w:t>
            </w:r>
          </w:p>
        </w:tc>
        <w:tc>
          <w:tcPr>
            <w:tcMar>
              <w:top w:type="dxa" w:w="100"/>
              <w:left w:type="dxa" w:w="120"/>
              <w:bottom w:type="dxa" w:w="100"/>
              <w:right w:type="dxa" w:w="120"/>
            </w:tcMar>
            <w:vAlign w:val="center"/>
          </w:tcPr>
          <w:p>
            <w:pPr>
              <w:spacing w:after="160" w:line="276"/>
            </w:pPr>
            <w:r>
              <w:rPr>
                <w:sz w:val="22"/>
                <w:szCs w:val="22"/>
              </w:rPr>
              <w:t xml:space="preserve">25 live hosts discovered on local /24 subnet with IP/MAC/vendor data and topology map</w:t>
            </w:r>
          </w:p>
        </w:tc>
      </w:tr>
    </w:tbl>
    <w:p>
      <w:r>
        <w:br w:type="page"/>
      </w:r>
    </w:p>
    <w:p>
      <w:pPr>
        <w:pStyle w:val="Heading1"/>
        <w:pBdr>
          <w:bottom w:val="single" w:color="1F3864" w:sz="8" w:space="4"/>
        </w:pBdr>
        <w:spacing w:after="160" w:before="360"/>
      </w:pPr>
      <w:r>
        <w:rPr>
          <w:b/>
          <w:bCs/>
          <w:color w:val="1F3864"/>
          <w:sz w:val="30"/>
          <w:szCs w:val="30"/>
        </w:rPr>
        <w:t xml:space="preserve">8. Risk Analysis / Impact</w:t>
      </w:r>
    </w:p>
    <w:p>
      <w:pPr>
        <w:spacing w:after="160" w:line="276"/>
      </w:pPr>
      <w:r>
        <w:rPr>
          <w:sz w:val="22"/>
          <w:szCs w:val="22"/>
        </w:rPr>
        <w:t xml:space="preserve">Based on the information collected during the footprinting and scanning activities, the following potential risks were identified. These are observations from reconnaissance and discovery exercises, not confirmed or exploited vulnerabilities — no exploitation or vulnerability validation was performed in Week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400"/>
        <w:gridCol w:w="2988"/>
        <w:gridCol w:w="1300"/>
      </w:tblGrid>
      <w:tr>
        <w:tc>
          <w:tcPr>
            <w:shd w:fill="1F3864" w:val="clear"/>
            <w:tcMar>
              <w:top w:type="dxa" w:w="100"/>
              <w:left w:type="dxa" w:w="120"/>
              <w:bottom w:type="dxa" w:w="100"/>
              <w:right w:type="dxa" w:w="120"/>
            </w:tcMar>
            <w:vAlign w:val="center"/>
          </w:tcPr>
          <w:p>
            <w:r>
              <w:rPr>
                <w:b/>
                <w:bCs/>
                <w:color w:val="FFFFFF"/>
                <w:sz w:val="20"/>
                <w:szCs w:val="20"/>
              </w:rPr>
              <w:t xml:space="preserve">#</w:t>
            </w:r>
          </w:p>
        </w:tc>
        <w:tc>
          <w:tcPr>
            <w:shd w:fill="1F3864" w:val="clear"/>
            <w:tcMar>
              <w:top w:type="dxa" w:w="100"/>
              <w:left w:type="dxa" w:w="120"/>
              <w:bottom w:type="dxa" w:w="100"/>
              <w:right w:type="dxa" w:w="120"/>
            </w:tcMar>
            <w:vAlign w:val="center"/>
          </w:tcPr>
          <w:p>
            <w:r>
              <w:rPr>
                <w:b/>
                <w:bCs/>
                <w:color w:val="FFFFFF"/>
                <w:sz w:val="20"/>
                <w:szCs w:val="20"/>
              </w:rPr>
              <w:t xml:space="preserve">Risk / Finding</w:t>
            </w:r>
          </w:p>
        </w:tc>
        <w:tc>
          <w:tcPr>
            <w:shd w:fill="1F3864" w:val="clear"/>
            <w:tcMar>
              <w:top w:type="dxa" w:w="100"/>
              <w:left w:type="dxa" w:w="120"/>
              <w:bottom w:type="dxa" w:w="100"/>
              <w:right w:type="dxa" w:w="120"/>
            </w:tcMar>
            <w:vAlign w:val="center"/>
          </w:tcPr>
          <w:p>
            <w:r>
              <w:rPr>
                <w:b/>
                <w:bCs/>
                <w:color w:val="FFFFFF"/>
                <w:sz w:val="20"/>
                <w:szCs w:val="20"/>
              </w:rPr>
              <w:t xml:space="preserve">Evidence</w:t>
            </w:r>
          </w:p>
        </w:tc>
        <w:tc>
          <w:tcPr>
            <w:shd w:fill="1F3864" w:val="clear"/>
            <w:tcMar>
              <w:top w:type="dxa" w:w="100"/>
              <w:left w:type="dxa" w:w="120"/>
              <w:bottom w:type="dxa" w:w="100"/>
              <w:right w:type="dxa" w:w="120"/>
            </w:tcMar>
            <w:vAlign w:val="center"/>
          </w:tcPr>
          <w:p>
            <w:r>
              <w:rPr>
                <w:b/>
                <w:bCs/>
                <w:color w:val="FFFFFF"/>
                <w:sz w:val="20"/>
                <w:szCs w:val="20"/>
              </w:rPr>
              <w:t xml:space="preserve">Potential Impact</w:t>
            </w:r>
          </w:p>
        </w:tc>
        <w:tc>
          <w:tcPr>
            <w:shd w:fill="1F3864" w:val="clear"/>
            <w:tcMar>
              <w:top w:type="dxa" w:w="100"/>
              <w:left w:type="dxa" w:w="120"/>
              <w:bottom w:type="dxa" w:w="100"/>
              <w:right w:type="dxa" w:w="120"/>
            </w:tcMar>
            <w:vAlign w:val="center"/>
          </w:tcPr>
          <w:p>
            <w:r>
              <w:rPr>
                <w:b/>
                <w:bCs/>
                <w:color w:val="FFFFFF"/>
                <w:sz w:val="20"/>
                <w:szCs w:val="20"/>
              </w:rPr>
              <w:t xml:space="preserve">Risk Level</w:t>
            </w:r>
          </w:p>
        </w:tc>
      </w:tr>
      <w:tr>
        <w:tc>
          <w:tcPr>
            <w:tcMar>
              <w:top w:type="dxa" w:w="100"/>
              <w:left w:type="dxa" w:w="120"/>
              <w:bottom w:type="dxa" w:w="100"/>
              <w:right w:type="dxa" w:w="120"/>
            </w:tcMar>
            <w:vAlign w:val="center"/>
          </w:tcPr>
          <w:p>
            <w:pPr>
              <w:spacing w:after="160" w:line="276"/>
            </w:pPr>
            <w:r>
              <w:rPr>
                <w:sz w:val="22"/>
                <w:szCs w:val="22"/>
              </w:rPr>
              <w:t xml:space="preserve">1</w:t>
            </w:r>
          </w:p>
        </w:tc>
        <w:tc>
          <w:tcPr>
            <w:tcMar>
              <w:top w:type="dxa" w:w="100"/>
              <w:left w:type="dxa" w:w="120"/>
              <w:bottom w:type="dxa" w:w="100"/>
              <w:right w:type="dxa" w:w="120"/>
            </w:tcMar>
            <w:vAlign w:val="center"/>
          </w:tcPr>
          <w:p>
            <w:pPr>
              <w:spacing w:after="160" w:line="276"/>
            </w:pPr>
            <w:r>
              <w:rPr>
                <w:sz w:val="22"/>
                <w:szCs w:val="22"/>
              </w:rPr>
              <w:t xml:space="preserve">CMS &amp; plugin versions exposed</w:t>
            </w:r>
          </w:p>
        </w:tc>
        <w:tc>
          <w:tcPr>
            <w:tcMar>
              <w:top w:type="dxa" w:w="100"/>
              <w:left w:type="dxa" w:w="120"/>
              <w:bottom w:type="dxa" w:w="100"/>
              <w:right w:type="dxa" w:w="120"/>
            </w:tcMar>
            <w:vAlign w:val="center"/>
          </w:tcPr>
          <w:p>
            <w:pPr>
              <w:spacing w:after="160" w:line="276"/>
            </w:pPr>
            <w:r>
              <w:rPr>
                <w:sz w:val="22"/>
                <w:szCs w:val="22"/>
              </w:rPr>
              <w:t xml:space="preserve">WhatWeb identified WordPress 7.0.4 and WP Download Manager 3.3.58</w:t>
            </w:r>
          </w:p>
        </w:tc>
        <w:tc>
          <w:tcPr>
            <w:tcMar>
              <w:top w:type="dxa" w:w="100"/>
              <w:left w:type="dxa" w:w="120"/>
              <w:bottom w:type="dxa" w:w="100"/>
              <w:right w:type="dxa" w:w="120"/>
            </w:tcMar>
            <w:vAlign w:val="center"/>
          </w:tcPr>
          <w:p>
            <w:pPr>
              <w:spacing w:after="160" w:line="276"/>
            </w:pPr>
            <w:r>
              <w:rPr>
                <w:sz w:val="22"/>
                <w:szCs w:val="22"/>
              </w:rPr>
              <w:t xml:space="preserve">Attackers can match exact versions against public CVE/exploit databases</w:t>
            </w:r>
          </w:p>
        </w:tc>
        <w:tc>
          <w:tcPr>
            <w:tcMar>
              <w:top w:type="dxa" w:w="100"/>
              <w:left w:type="dxa" w:w="120"/>
              <w:bottom w:type="dxa" w:w="100"/>
              <w:right w:type="dxa" w:w="120"/>
            </w:tcMar>
            <w:vAlign w:val="center"/>
          </w:tcPr>
          <w:p>
            <w:r>
              <w:rPr>
                <w:b/>
                <w:bCs/>
                <w:color w:val="BF8F00"/>
                <w:sz w:val="20"/>
                <w:szCs w:val="20"/>
              </w:rPr>
              <w:t xml:space="preserve">● Medium</w:t>
            </w:r>
          </w:p>
        </w:tc>
      </w:tr>
      <w:tr>
        <w:tc>
          <w:tcPr>
            <w:tcMar>
              <w:top w:type="dxa" w:w="100"/>
              <w:left w:type="dxa" w:w="120"/>
              <w:bottom w:type="dxa" w:w="100"/>
              <w:right w:type="dxa" w:w="120"/>
            </w:tcMar>
            <w:vAlign w:val="center"/>
          </w:tcPr>
          <w:p>
            <w:pPr>
              <w:spacing w:after="160" w:line="276"/>
            </w:pPr>
            <w:r>
              <w:rPr>
                <w:sz w:val="22"/>
                <w:szCs w:val="22"/>
              </w:rPr>
              <w:t xml:space="preserve">2</w:t>
            </w:r>
          </w:p>
        </w:tc>
        <w:tc>
          <w:tcPr>
            <w:tcMar>
              <w:top w:type="dxa" w:w="100"/>
              <w:left w:type="dxa" w:w="120"/>
              <w:bottom w:type="dxa" w:w="100"/>
              <w:right w:type="dxa" w:w="120"/>
            </w:tcMar>
            <w:vAlign w:val="center"/>
          </w:tcPr>
          <w:p>
            <w:pPr>
              <w:spacing w:after="160" w:line="276"/>
            </w:pPr>
            <w:r>
              <w:rPr>
                <w:sz w:val="22"/>
                <w:szCs w:val="22"/>
              </w:rPr>
              <w:t xml:space="preserve">Server IP address identifiable</w:t>
            </w:r>
          </w:p>
        </w:tc>
        <w:tc>
          <w:tcPr>
            <w:tcMar>
              <w:top w:type="dxa" w:w="100"/>
              <w:left w:type="dxa" w:w="120"/>
              <w:bottom w:type="dxa" w:w="100"/>
              <w:right w:type="dxa" w:w="120"/>
            </w:tcMar>
            <w:vAlign w:val="center"/>
          </w:tcPr>
          <w:p>
            <w:pPr>
              <w:spacing w:after="160" w:line="276"/>
            </w:pPr>
            <w:r>
              <w:rPr>
                <w:sz w:val="22"/>
                <w:szCs w:val="22"/>
              </w:rPr>
              <w:t xml:space="preserve">Nslookup resolved networkwalks.com to 192.232.216.135</w:t>
            </w:r>
          </w:p>
        </w:tc>
        <w:tc>
          <w:tcPr>
            <w:tcMar>
              <w:top w:type="dxa" w:w="100"/>
              <w:left w:type="dxa" w:w="120"/>
              <w:bottom w:type="dxa" w:w="100"/>
              <w:right w:type="dxa" w:w="120"/>
            </w:tcMar>
            <w:vAlign w:val="center"/>
          </w:tcPr>
          <w:p>
            <w:pPr>
              <w:spacing w:after="160" w:line="276"/>
            </w:pPr>
            <w:r>
              <w:rPr>
                <w:sz w:val="22"/>
                <w:szCs w:val="22"/>
              </w:rPr>
              <w:t xml:space="preserve">Enables direct scanning and reverse-IP lookups against the origin server</w:t>
            </w:r>
          </w:p>
        </w:tc>
        <w:tc>
          <w:tcPr>
            <w:tcMar>
              <w:top w:type="dxa" w:w="100"/>
              <w:left w:type="dxa" w:w="120"/>
              <w:bottom w:type="dxa" w:w="100"/>
              <w:right w:type="dxa" w:w="120"/>
            </w:tcMar>
            <w:vAlign w:val="center"/>
          </w:tcPr>
          <w:p>
            <w:r>
              <w:rPr>
                <w:b/>
                <w:bCs/>
                <w:color w:val="548235"/>
                <w:sz w:val="20"/>
                <w:szCs w:val="20"/>
              </w:rPr>
              <w:t xml:space="preserve">● Low</w:t>
            </w:r>
          </w:p>
        </w:tc>
      </w:tr>
      <w:tr>
        <w:tc>
          <w:tcPr>
            <w:tcMar>
              <w:top w:type="dxa" w:w="100"/>
              <w:left w:type="dxa" w:w="120"/>
              <w:bottom w:type="dxa" w:w="100"/>
              <w:right w:type="dxa" w:w="120"/>
            </w:tcMar>
            <w:vAlign w:val="center"/>
          </w:tcPr>
          <w:p>
            <w:pPr>
              <w:spacing w:after="160" w:line="276"/>
            </w:pPr>
            <w:r>
              <w:rPr>
                <w:sz w:val="22"/>
                <w:szCs w:val="22"/>
              </w:rPr>
              <w:t xml:space="preserve">3</w:t>
            </w:r>
          </w:p>
        </w:tc>
        <w:tc>
          <w:tcPr>
            <w:tcMar>
              <w:top w:type="dxa" w:w="100"/>
              <w:left w:type="dxa" w:w="120"/>
              <w:bottom w:type="dxa" w:w="100"/>
              <w:right w:type="dxa" w:w="120"/>
            </w:tcMar>
            <w:vAlign w:val="center"/>
          </w:tcPr>
          <w:p>
            <w:pPr>
              <w:spacing w:after="160" w:line="276"/>
            </w:pPr>
            <w:r>
              <w:rPr>
                <w:sz w:val="22"/>
                <w:szCs w:val="22"/>
              </w:rPr>
              <w:t xml:space="preserve">Security-plugin &amp; caching details in headers</w:t>
            </w:r>
          </w:p>
        </w:tc>
        <w:tc>
          <w:tcPr>
            <w:tcMar>
              <w:top w:type="dxa" w:w="100"/>
              <w:left w:type="dxa" w:w="120"/>
              <w:bottom w:type="dxa" w:w="100"/>
              <w:right w:type="dxa" w:w="120"/>
            </w:tcMar>
            <w:vAlign w:val="center"/>
          </w:tcPr>
          <w:p>
            <w:pPr>
              <w:spacing w:after="160" w:line="276"/>
            </w:pPr>
            <w:r>
              <w:rPr>
                <w:sz w:val="22"/>
                <w:szCs w:val="22"/>
              </w:rPr>
              <w:t xml:space="preserve">Curl -I exposed "Really Simple Security" plugin and caching headers</w:t>
            </w:r>
          </w:p>
        </w:tc>
        <w:tc>
          <w:tcPr>
            <w:tcMar>
              <w:top w:type="dxa" w:w="100"/>
              <w:left w:type="dxa" w:w="120"/>
              <w:bottom w:type="dxa" w:w="100"/>
              <w:right w:type="dxa" w:w="120"/>
            </w:tcMar>
            <w:vAlign w:val="center"/>
          </w:tcPr>
          <w:p>
            <w:pPr>
              <w:spacing w:after="160" w:line="276"/>
            </w:pPr>
            <w:r>
              <w:rPr>
                <w:sz w:val="22"/>
                <w:szCs w:val="22"/>
              </w:rPr>
              <w:t xml:space="preserve">Assists precise technology fingerprinting for further enumeration</w:t>
            </w:r>
          </w:p>
        </w:tc>
        <w:tc>
          <w:tcPr>
            <w:tcMar>
              <w:top w:type="dxa" w:w="100"/>
              <w:left w:type="dxa" w:w="120"/>
              <w:bottom w:type="dxa" w:w="100"/>
              <w:right w:type="dxa" w:w="120"/>
            </w:tcMar>
            <w:vAlign w:val="center"/>
          </w:tcPr>
          <w:p>
            <w:r>
              <w:rPr>
                <w:b/>
                <w:bCs/>
                <w:color w:val="548235"/>
                <w:sz w:val="20"/>
                <w:szCs w:val="20"/>
              </w:rPr>
              <w:t xml:space="preserve">● Low</w:t>
            </w:r>
          </w:p>
        </w:tc>
      </w:tr>
      <w:tr>
        <w:tc>
          <w:tcPr>
            <w:tcMar>
              <w:top w:type="dxa" w:w="100"/>
              <w:left w:type="dxa" w:w="120"/>
              <w:bottom w:type="dxa" w:w="100"/>
              <w:right w:type="dxa" w:w="120"/>
            </w:tcMar>
            <w:vAlign w:val="center"/>
          </w:tcPr>
          <w:p>
            <w:pPr>
              <w:spacing w:after="160" w:line="276"/>
            </w:pPr>
            <w:r>
              <w:rPr>
                <w:sz w:val="22"/>
                <w:szCs w:val="22"/>
              </w:rPr>
              <w:t xml:space="preserve">4</w:t>
            </w:r>
          </w:p>
        </w:tc>
        <w:tc>
          <w:tcPr>
            <w:tcMar>
              <w:top w:type="dxa" w:w="100"/>
              <w:left w:type="dxa" w:w="120"/>
              <w:bottom w:type="dxa" w:w="100"/>
              <w:right w:type="dxa" w:w="120"/>
            </w:tcMar>
            <w:vAlign w:val="center"/>
          </w:tcPr>
          <w:p>
            <w:pPr>
              <w:spacing w:after="160" w:line="276"/>
            </w:pPr>
            <w:r>
              <w:rPr>
                <w:sz w:val="22"/>
                <w:szCs w:val="22"/>
              </w:rPr>
              <w:t xml:space="preserve">WAF product identifiable</w:t>
            </w:r>
          </w:p>
        </w:tc>
        <w:tc>
          <w:tcPr>
            <w:tcMar>
              <w:top w:type="dxa" w:w="100"/>
              <w:left w:type="dxa" w:w="120"/>
              <w:bottom w:type="dxa" w:w="100"/>
              <w:right w:type="dxa" w:w="120"/>
            </w:tcMar>
            <w:vAlign w:val="center"/>
          </w:tcPr>
          <w:p>
            <w:pPr>
              <w:spacing w:after="160" w:line="276"/>
            </w:pPr>
            <w:r>
              <w:rPr>
                <w:sz w:val="22"/>
                <w:szCs w:val="22"/>
              </w:rPr>
              <w:t xml:space="preserve">Wafw00f identified ModSecurity (SpiderLabs)</w:t>
            </w:r>
          </w:p>
        </w:tc>
        <w:tc>
          <w:tcPr>
            <w:tcMar>
              <w:top w:type="dxa" w:w="100"/>
              <w:left w:type="dxa" w:w="120"/>
              <w:bottom w:type="dxa" w:w="100"/>
              <w:right w:type="dxa" w:w="120"/>
            </w:tcMar>
            <w:vAlign w:val="center"/>
          </w:tcPr>
          <w:p>
            <w:pPr>
              <w:spacing w:after="160" w:line="276"/>
            </w:pPr>
            <w:r>
              <w:rPr>
                <w:sz w:val="22"/>
                <w:szCs w:val="22"/>
              </w:rPr>
              <w:t xml:space="preserve">Allows research into known bypass techniques for that specific WAF</w:t>
            </w:r>
          </w:p>
        </w:tc>
        <w:tc>
          <w:tcPr>
            <w:tcMar>
              <w:top w:type="dxa" w:w="100"/>
              <w:left w:type="dxa" w:w="120"/>
              <w:bottom w:type="dxa" w:w="100"/>
              <w:right w:type="dxa" w:w="120"/>
            </w:tcMar>
            <w:vAlign w:val="center"/>
          </w:tcPr>
          <w:p>
            <w:r>
              <w:rPr>
                <w:b/>
                <w:bCs/>
                <w:color w:val="548235"/>
                <w:sz w:val="20"/>
                <w:szCs w:val="20"/>
              </w:rPr>
              <w:t xml:space="preserve">● Low</w:t>
            </w:r>
          </w:p>
        </w:tc>
      </w:tr>
      <w:tr>
        <w:tc>
          <w:tcPr>
            <w:tcMar>
              <w:top w:type="dxa" w:w="100"/>
              <w:left w:type="dxa" w:w="120"/>
              <w:bottom w:type="dxa" w:w="100"/>
              <w:right w:type="dxa" w:w="120"/>
            </w:tcMar>
            <w:vAlign w:val="center"/>
          </w:tcPr>
          <w:p>
            <w:pPr>
              <w:spacing w:after="160" w:line="276"/>
            </w:pPr>
            <w:r>
              <w:rPr>
                <w:sz w:val="22"/>
                <w:szCs w:val="22"/>
              </w:rPr>
              <w:t xml:space="preserve">5</w:t>
            </w:r>
          </w:p>
        </w:tc>
        <w:tc>
          <w:tcPr>
            <w:tcMar>
              <w:top w:type="dxa" w:w="100"/>
              <w:left w:type="dxa" w:w="120"/>
              <w:bottom w:type="dxa" w:w="100"/>
              <w:right w:type="dxa" w:w="120"/>
            </w:tcMar>
            <w:vAlign w:val="center"/>
          </w:tcPr>
          <w:p>
            <w:pPr>
              <w:spacing w:after="160" w:line="276"/>
            </w:pPr>
            <w:r>
              <w:rPr>
                <w:sz w:val="22"/>
                <w:szCs w:val="22"/>
              </w:rPr>
              <w:t xml:space="preserve">DNS &amp; mail infrastructure exposed</w:t>
            </w:r>
          </w:p>
        </w:tc>
        <w:tc>
          <w:tcPr>
            <w:tcMar>
              <w:top w:type="dxa" w:w="100"/>
              <w:left w:type="dxa" w:w="120"/>
              <w:bottom w:type="dxa" w:w="100"/>
              <w:right w:type="dxa" w:w="120"/>
            </w:tcMar>
            <w:vAlign w:val="center"/>
          </w:tcPr>
          <w:p>
            <w:pPr>
              <w:spacing w:after="160" w:line="276"/>
            </w:pPr>
            <w:r>
              <w:rPr>
                <w:sz w:val="22"/>
                <w:szCs w:val="22"/>
              </w:rPr>
              <w:t xml:space="preserve">DNSrecon revealed BIND version, SPF record and 8 autodiscover SRV records</w:t>
            </w:r>
          </w:p>
        </w:tc>
        <w:tc>
          <w:tcPr>
            <w:tcMar>
              <w:top w:type="dxa" w:w="100"/>
              <w:left w:type="dxa" w:w="120"/>
              <w:bottom w:type="dxa" w:w="100"/>
              <w:right w:type="dxa" w:w="120"/>
            </w:tcMar>
            <w:vAlign w:val="center"/>
          </w:tcPr>
          <w:p>
            <w:pPr>
              <w:spacing w:after="160" w:line="276"/>
            </w:pPr>
            <w:r>
              <w:rPr>
                <w:sz w:val="22"/>
                <w:szCs w:val="22"/>
              </w:rPr>
              <w:t xml:space="preserve">Broadens the visible attack surface around DNS and mail services</w:t>
            </w:r>
          </w:p>
        </w:tc>
        <w:tc>
          <w:tcPr>
            <w:tcMar>
              <w:top w:type="dxa" w:w="100"/>
              <w:left w:type="dxa" w:w="120"/>
              <w:bottom w:type="dxa" w:w="100"/>
              <w:right w:type="dxa" w:w="120"/>
            </w:tcMar>
            <w:vAlign w:val="center"/>
          </w:tcPr>
          <w:p>
            <w:r>
              <w:rPr>
                <w:b/>
                <w:bCs/>
                <w:color w:val="BF8F00"/>
                <w:sz w:val="20"/>
                <w:szCs w:val="20"/>
              </w:rPr>
              <w:t xml:space="preserve">● Medium</w:t>
            </w:r>
          </w:p>
        </w:tc>
      </w:tr>
      <w:tr>
        <w:tc>
          <w:tcPr>
            <w:tcMar>
              <w:top w:type="dxa" w:w="100"/>
              <w:left w:type="dxa" w:w="120"/>
              <w:bottom w:type="dxa" w:w="100"/>
              <w:right w:type="dxa" w:w="120"/>
            </w:tcMar>
            <w:vAlign w:val="center"/>
          </w:tcPr>
          <w:p>
            <w:pPr>
              <w:spacing w:after="160" w:line="276"/>
            </w:pPr>
            <w:r>
              <w:rPr>
                <w:sz w:val="22"/>
                <w:szCs w:val="22"/>
              </w:rPr>
              <w:t xml:space="preserve">6</w:t>
            </w:r>
          </w:p>
        </w:tc>
        <w:tc>
          <w:tcPr>
            <w:tcMar>
              <w:top w:type="dxa" w:w="100"/>
              <w:left w:type="dxa" w:w="120"/>
              <w:bottom w:type="dxa" w:w="100"/>
              <w:right w:type="dxa" w:w="120"/>
            </w:tcMar>
            <w:vAlign w:val="center"/>
          </w:tcPr>
          <w:p>
            <w:pPr>
              <w:spacing w:after="160" w:line="276"/>
            </w:pPr>
            <w:r>
              <w:rPr>
                <w:sz w:val="22"/>
                <w:szCs w:val="22"/>
              </w:rPr>
              <w:t xml:space="preserve">Internet-exposed camera devices (GHDB)</w:t>
            </w:r>
          </w:p>
        </w:tc>
        <w:tc>
          <w:tcPr>
            <w:tcMar>
              <w:top w:type="dxa" w:w="100"/>
              <w:left w:type="dxa" w:w="120"/>
              <w:bottom w:type="dxa" w:w="100"/>
              <w:right w:type="dxa" w:w="120"/>
            </w:tcMar>
            <w:vAlign w:val="center"/>
          </w:tcPr>
          <w:p>
            <w:pPr>
              <w:spacing w:after="160" w:line="276"/>
            </w:pPr>
            <w:r>
              <w:rPr>
                <w:sz w:val="22"/>
                <w:szCs w:val="22"/>
              </w:rPr>
              <w:t xml:space="preserve">10 live camera interfaces located via Google dorking</w:t>
            </w:r>
          </w:p>
        </w:tc>
        <w:tc>
          <w:tcPr>
            <w:tcMar>
              <w:top w:type="dxa" w:w="100"/>
              <w:left w:type="dxa" w:w="120"/>
              <w:bottom w:type="dxa" w:w="100"/>
              <w:right w:type="dxa" w:w="120"/>
            </w:tcMar>
            <w:vAlign w:val="center"/>
          </w:tcPr>
          <w:p>
            <w:pPr>
              <w:spacing w:after="160" w:line="276"/>
            </w:pPr>
            <w:r>
              <w:rPr>
                <w:sz w:val="22"/>
                <w:szCs w:val="22"/>
              </w:rPr>
              <w:t xml:space="preserve">Devices with weak/default authentication risk unauthorized viewing/control</w:t>
            </w:r>
          </w:p>
        </w:tc>
        <w:tc>
          <w:tcPr>
            <w:tcMar>
              <w:top w:type="dxa" w:w="100"/>
              <w:left w:type="dxa" w:w="120"/>
              <w:bottom w:type="dxa" w:w="100"/>
              <w:right w:type="dxa" w:w="120"/>
            </w:tcMar>
            <w:vAlign w:val="center"/>
          </w:tcPr>
          <w:p>
            <w:r>
              <w:rPr>
                <w:b/>
                <w:bCs/>
                <w:color w:val="C00000"/>
                <w:sz w:val="20"/>
                <w:szCs w:val="20"/>
              </w:rPr>
              <w:t xml:space="preserve">● Critical</w:t>
            </w:r>
          </w:p>
        </w:tc>
      </w:tr>
      <w:tr>
        <w:tc>
          <w:tcPr>
            <w:tcMar>
              <w:top w:type="dxa" w:w="100"/>
              <w:left w:type="dxa" w:w="120"/>
              <w:bottom w:type="dxa" w:w="100"/>
              <w:right w:type="dxa" w:w="120"/>
            </w:tcMar>
            <w:vAlign w:val="center"/>
          </w:tcPr>
          <w:p>
            <w:pPr>
              <w:spacing w:after="160" w:line="276"/>
            </w:pPr>
            <w:r>
              <w:rPr>
                <w:sz w:val="22"/>
                <w:szCs w:val="22"/>
              </w:rPr>
              <w:t xml:space="preserve">7</w:t>
            </w:r>
          </w:p>
        </w:tc>
        <w:tc>
          <w:tcPr>
            <w:tcMar>
              <w:top w:type="dxa" w:w="100"/>
              <w:left w:type="dxa" w:w="120"/>
              <w:bottom w:type="dxa" w:w="100"/>
              <w:right w:type="dxa" w:w="120"/>
            </w:tcMar>
            <w:vAlign w:val="center"/>
          </w:tcPr>
          <w:p>
            <w:pPr>
              <w:spacing w:after="160" w:line="276"/>
            </w:pPr>
            <w:r>
              <w:rPr>
                <w:sz w:val="22"/>
                <w:szCs w:val="22"/>
              </w:rPr>
              <w:t xml:space="preserve">Open directory listings</w:t>
            </w:r>
          </w:p>
        </w:tc>
        <w:tc>
          <w:tcPr>
            <w:tcMar>
              <w:top w:type="dxa" w:w="100"/>
              <w:left w:type="dxa" w:w="120"/>
              <w:bottom w:type="dxa" w:w="100"/>
              <w:right w:type="dxa" w:w="120"/>
            </w:tcMar>
            <w:vAlign w:val="center"/>
          </w:tcPr>
          <w:p>
            <w:pPr>
              <w:spacing w:after="160" w:line="276"/>
            </w:pPr>
            <w:r>
              <w:rPr>
                <w:sz w:val="22"/>
                <w:szCs w:val="22"/>
              </w:rPr>
              <w:t xml:space="preserve">3 publicly indexed file directories found via GHDB</w:t>
            </w:r>
          </w:p>
        </w:tc>
        <w:tc>
          <w:tcPr>
            <w:tcMar>
              <w:top w:type="dxa" w:w="100"/>
              <w:left w:type="dxa" w:w="120"/>
              <w:bottom w:type="dxa" w:w="100"/>
              <w:right w:type="dxa" w:w="120"/>
            </w:tcMar>
            <w:vAlign w:val="center"/>
          </w:tcPr>
          <w:p>
            <w:pPr>
              <w:spacing w:after="160" w:line="276"/>
            </w:pPr>
            <w:r>
              <w:rPr>
                <w:sz w:val="22"/>
                <w:szCs w:val="22"/>
              </w:rPr>
              <w:t xml:space="preserve">Indexing misconfiguration could expose sensitive files on other targets</w:t>
            </w:r>
          </w:p>
        </w:tc>
        <w:tc>
          <w:tcPr>
            <w:tcMar>
              <w:top w:type="dxa" w:w="100"/>
              <w:left w:type="dxa" w:w="120"/>
              <w:bottom w:type="dxa" w:w="100"/>
              <w:right w:type="dxa" w:w="120"/>
            </w:tcMar>
            <w:vAlign w:val="center"/>
          </w:tcPr>
          <w:p>
            <w:r>
              <w:rPr>
                <w:b/>
                <w:bCs/>
                <w:color w:val="548235"/>
                <w:sz w:val="20"/>
                <w:szCs w:val="20"/>
              </w:rPr>
              <w:t xml:space="preserve">● Low</w:t>
            </w:r>
          </w:p>
        </w:tc>
      </w:tr>
      <w:tr>
        <w:tc>
          <w:tcPr>
            <w:tcMar>
              <w:top w:type="dxa" w:w="100"/>
              <w:left w:type="dxa" w:w="120"/>
              <w:bottom w:type="dxa" w:w="100"/>
              <w:right w:type="dxa" w:w="120"/>
            </w:tcMar>
            <w:vAlign w:val="center"/>
          </w:tcPr>
          <w:p>
            <w:pPr>
              <w:spacing w:after="160" w:line="276"/>
            </w:pPr>
            <w:r>
              <w:rPr>
                <w:sz w:val="22"/>
                <w:szCs w:val="22"/>
              </w:rPr>
              <w:t xml:space="preserve">8</w:t>
            </w:r>
          </w:p>
        </w:tc>
        <w:tc>
          <w:tcPr>
            <w:tcMar>
              <w:top w:type="dxa" w:w="100"/>
              <w:left w:type="dxa" w:w="120"/>
              <w:bottom w:type="dxa" w:w="100"/>
              <w:right w:type="dxa" w:w="120"/>
            </w:tcMar>
            <w:vAlign w:val="center"/>
          </w:tcPr>
          <w:p>
            <w:pPr>
              <w:spacing w:after="160" w:line="276"/>
            </w:pPr>
            <w:r>
              <w:rPr>
                <w:sz w:val="22"/>
                <w:szCs w:val="22"/>
              </w:rPr>
              <w:t xml:space="preserve">Contact email discoverable</w:t>
            </w:r>
          </w:p>
        </w:tc>
        <w:tc>
          <w:tcPr>
            <w:tcMar>
              <w:top w:type="dxa" w:w="100"/>
              <w:left w:type="dxa" w:w="120"/>
              <w:bottom w:type="dxa" w:w="100"/>
              <w:right w:type="dxa" w:w="120"/>
            </w:tcMar>
            <w:vAlign w:val="center"/>
          </w:tcPr>
          <w:p>
            <w:pPr>
              <w:spacing w:after="160" w:line="276"/>
            </w:pPr>
            <w:r>
              <w:rPr>
                <w:sz w:val="22"/>
                <w:szCs w:val="22"/>
              </w:rPr>
              <w:t xml:space="preserve">Maltego mapped info@networkwalks.com from the domain</w:t>
            </w:r>
          </w:p>
        </w:tc>
        <w:tc>
          <w:tcPr>
            <w:tcMar>
              <w:top w:type="dxa" w:w="100"/>
              <w:left w:type="dxa" w:w="120"/>
              <w:bottom w:type="dxa" w:w="100"/>
              <w:right w:type="dxa" w:w="120"/>
            </w:tcMar>
            <w:vAlign w:val="center"/>
          </w:tcPr>
          <w:p>
            <w:pPr>
              <w:spacing w:after="160" w:line="276"/>
            </w:pPr>
            <w:r>
              <w:rPr>
                <w:sz w:val="22"/>
                <w:szCs w:val="22"/>
              </w:rPr>
              <w:t xml:space="preserve">Provides a concrete target for phishing/social-engineering attempts</w:t>
            </w:r>
          </w:p>
        </w:tc>
        <w:tc>
          <w:tcPr>
            <w:tcMar>
              <w:top w:type="dxa" w:w="100"/>
              <w:left w:type="dxa" w:w="120"/>
              <w:bottom w:type="dxa" w:w="100"/>
              <w:right w:type="dxa" w:w="120"/>
            </w:tcMar>
            <w:vAlign w:val="center"/>
          </w:tcPr>
          <w:p>
            <w:r>
              <w:rPr>
                <w:b/>
                <w:bCs/>
                <w:color w:val="548235"/>
                <w:sz w:val="20"/>
                <w:szCs w:val="20"/>
              </w:rPr>
              <w:t xml:space="preserve">● Low</w:t>
            </w:r>
          </w:p>
        </w:tc>
      </w:tr>
      <w:tr>
        <w:tc>
          <w:tcPr>
            <w:tcMar>
              <w:top w:type="dxa" w:w="100"/>
              <w:left w:type="dxa" w:w="120"/>
              <w:bottom w:type="dxa" w:w="100"/>
              <w:right w:type="dxa" w:w="120"/>
            </w:tcMar>
            <w:vAlign w:val="center"/>
          </w:tcPr>
          <w:p>
            <w:pPr>
              <w:spacing w:after="160" w:line="276"/>
            </w:pPr>
            <w:r>
              <w:rPr>
                <w:sz w:val="22"/>
                <w:szCs w:val="22"/>
              </w:rPr>
              <w:t xml:space="preserve">9</w:t>
            </w:r>
          </w:p>
        </w:tc>
        <w:tc>
          <w:tcPr>
            <w:tcMar>
              <w:top w:type="dxa" w:w="100"/>
              <w:left w:type="dxa" w:w="120"/>
              <w:bottom w:type="dxa" w:w="100"/>
              <w:right w:type="dxa" w:w="120"/>
            </w:tcMar>
            <w:vAlign w:val="center"/>
          </w:tcPr>
          <w:p>
            <w:pPr>
              <w:spacing w:after="160" w:line="276"/>
            </w:pPr>
            <w:r>
              <w:rPr>
                <w:sz w:val="22"/>
                <w:szCs w:val="22"/>
              </w:rPr>
              <w:t xml:space="preserve">Third-party sub-domains &amp; emails harvested</w:t>
            </w:r>
          </w:p>
        </w:tc>
        <w:tc>
          <w:tcPr>
            <w:tcMar>
              <w:top w:type="dxa" w:w="100"/>
              <w:left w:type="dxa" w:w="120"/>
              <w:bottom w:type="dxa" w:w="100"/>
              <w:right w:type="dxa" w:w="120"/>
            </w:tcMar>
            <w:vAlign w:val="center"/>
          </w:tcPr>
          <w:p>
            <w:pPr>
              <w:spacing w:after="160" w:line="276"/>
            </w:pPr>
            <w:r>
              <w:rPr>
                <w:sz w:val="22"/>
                <w:szCs w:val="22"/>
              </w:rPr>
              <w:t xml:space="preserve">theHarvester found up to 6 sub-domains and 3 emails for microsoft.com</w:t>
            </w:r>
          </w:p>
        </w:tc>
        <w:tc>
          <w:tcPr>
            <w:tcMar>
              <w:top w:type="dxa" w:w="100"/>
              <w:left w:type="dxa" w:w="120"/>
              <w:bottom w:type="dxa" w:w="100"/>
              <w:right w:type="dxa" w:w="120"/>
            </w:tcMar>
            <w:vAlign w:val="center"/>
          </w:tcPr>
          <w:p>
            <w:pPr>
              <w:spacing w:after="160" w:line="276"/>
            </w:pPr>
            <w:r>
              <w:rPr>
                <w:sz w:val="22"/>
                <w:szCs w:val="22"/>
              </w:rPr>
              <w:t xml:space="preserve">Each is a possible phishing target or forgotten/undocumented entry point</w:t>
            </w:r>
          </w:p>
        </w:tc>
        <w:tc>
          <w:tcPr>
            <w:tcMar>
              <w:top w:type="dxa" w:w="100"/>
              <w:left w:type="dxa" w:w="120"/>
              <w:bottom w:type="dxa" w:w="100"/>
              <w:right w:type="dxa" w:w="120"/>
            </w:tcMar>
            <w:vAlign w:val="center"/>
          </w:tcPr>
          <w:p>
            <w:r>
              <w:rPr>
                <w:b/>
                <w:bCs/>
                <w:color w:val="BF8F00"/>
                <w:sz w:val="20"/>
                <w:szCs w:val="20"/>
              </w:rPr>
              <w:t xml:space="preserve">● Medium</w:t>
            </w:r>
          </w:p>
        </w:tc>
      </w:tr>
      <w:tr>
        <w:tc>
          <w:tcPr>
            <w:tcMar>
              <w:top w:type="dxa" w:w="100"/>
              <w:left w:type="dxa" w:w="120"/>
              <w:bottom w:type="dxa" w:w="100"/>
              <w:right w:type="dxa" w:w="120"/>
            </w:tcMar>
            <w:vAlign w:val="center"/>
          </w:tcPr>
          <w:p>
            <w:pPr>
              <w:spacing w:after="160" w:line="276"/>
            </w:pPr>
            <w:r>
              <w:rPr>
                <w:sz w:val="22"/>
                <w:szCs w:val="22"/>
              </w:rPr>
              <w:t xml:space="preserve">10</w:t>
            </w:r>
          </w:p>
        </w:tc>
        <w:tc>
          <w:tcPr>
            <w:tcMar>
              <w:top w:type="dxa" w:w="100"/>
              <w:left w:type="dxa" w:w="120"/>
              <w:bottom w:type="dxa" w:w="100"/>
              <w:right w:type="dxa" w:w="120"/>
            </w:tcMar>
            <w:vAlign w:val="center"/>
          </w:tcPr>
          <w:p>
            <w:pPr>
              <w:spacing w:after="160" w:line="276"/>
            </w:pPr>
            <w:r>
              <w:rPr>
                <w:sz w:val="22"/>
                <w:szCs w:val="22"/>
              </w:rPr>
              <w:t xml:space="preserve">Multiple live hosts visible on local network</w:t>
            </w:r>
          </w:p>
        </w:tc>
        <w:tc>
          <w:tcPr>
            <w:tcMar>
              <w:top w:type="dxa" w:w="100"/>
              <w:left w:type="dxa" w:w="120"/>
              <w:bottom w:type="dxa" w:w="100"/>
              <w:right w:type="dxa" w:w="120"/>
            </w:tcMar>
            <w:vAlign w:val="center"/>
          </w:tcPr>
          <w:p>
            <w:pPr>
              <w:spacing w:after="160" w:line="276"/>
            </w:pPr>
            <w:r>
              <w:rPr>
                <w:sz w:val="22"/>
                <w:szCs w:val="22"/>
              </w:rPr>
              <w:t xml:space="preserve">Zenmap identified 25 live hosts with IP/MAC data on the /24 subnet</w:t>
            </w:r>
          </w:p>
        </w:tc>
        <w:tc>
          <w:tcPr>
            <w:tcMar>
              <w:top w:type="dxa" w:w="100"/>
              <w:left w:type="dxa" w:w="120"/>
              <w:bottom w:type="dxa" w:w="100"/>
              <w:right w:type="dxa" w:w="120"/>
            </w:tcMar>
            <w:vAlign w:val="center"/>
          </w:tcPr>
          <w:p>
            <w:pPr>
              <w:spacing w:after="160" w:line="276"/>
            </w:pPr>
            <w:r>
              <w:rPr>
                <w:sz w:val="22"/>
                <w:szCs w:val="22"/>
              </w:rPr>
              <w:t xml:space="preserve">Unknown or unauthorized devices could be present without the owner's knowledge</w:t>
            </w:r>
          </w:p>
        </w:tc>
        <w:tc>
          <w:tcPr>
            <w:tcMar>
              <w:top w:type="dxa" w:w="100"/>
              <w:left w:type="dxa" w:w="120"/>
              <w:bottom w:type="dxa" w:w="100"/>
              <w:right w:type="dxa" w:w="120"/>
            </w:tcMar>
            <w:vAlign w:val="center"/>
          </w:tcPr>
          <w:p>
            <w:r>
              <w:rPr>
                <w:b/>
                <w:bCs/>
                <w:color w:val="BF8F00"/>
                <w:sz w:val="20"/>
                <w:szCs w:val="20"/>
              </w:rPr>
              <w:t xml:space="preserve">● Medium</w:t>
            </w:r>
          </w:p>
        </w:tc>
      </w:tr>
    </w:tbl>
    <w:p>
      <w:pPr>
        <w:spacing w:after="160" w:line="276"/>
      </w:pPr>
      <w:r>
        <w:rPr>
          <w:sz w:val="22"/>
          <w:szCs w:val="22"/>
        </w:rPr>
        <w:t xml:space="preserve"/>
      </w:r>
    </w:p>
    <w:p>
      <w:pPr>
        <w:spacing w:after="160" w:line="276"/>
      </w:pPr>
      <w:r>
        <w:t xml:space="preserve">Risk level key:  </w:t>
      </w:r>
      <w:r>
        <w:rPr>
          <w:b/>
          <w:bCs/>
          <w:color w:val="C00000"/>
          <w:sz w:val="20"/>
          <w:szCs w:val="20"/>
        </w:rPr>
        <w:t xml:space="preserve">● Critical</w:t>
      </w:r>
      <w:r>
        <w:t xml:space="preserve">   </w:t>
      </w:r>
      <w:r>
        <w:rPr>
          <w:b/>
          <w:bCs/>
          <w:color w:val="BF8F00"/>
          <w:sz w:val="20"/>
          <w:szCs w:val="20"/>
        </w:rPr>
        <w:t xml:space="preserve">● Medium</w:t>
      </w:r>
      <w:r>
        <w:t xml:space="preserve">   </w:t>
      </w:r>
      <w:r>
        <w:rPr>
          <w:b/>
          <w:bCs/>
          <w:color w:val="548235"/>
          <w:sz w:val="20"/>
          <w:szCs w:val="20"/>
        </w:rPr>
        <w:t xml:space="preserve">● Low</w:t>
      </w:r>
    </w:p>
    <w:p>
      <w:pPr>
        <w:spacing w:after="160" w:line="276"/>
      </w:pPr>
      <w:r>
        <w:rPr>
          <w:sz w:val="22"/>
          <w:szCs w:val="22"/>
        </w:rPr>
        <w:t xml:space="preserve">The presence of a software version number, an IP address, an open directory, or a DNS record does not, by itself, prove that a system is vulnerable or that unauthorized access is possible. Item 6 (internet-exposed cameras) is rated Critical because the finding itself — an administrative device interface with no evident access control, indexed and reachable from the open internet — already constitutes exposure, independent of any further testing. All other items describe information disclosure that would need further authorized security testing to confirm as an exploitable vulnerability.</w:t>
      </w:r>
    </w:p>
    <w:p>
      <w:r>
        <w:br w:type="page"/>
      </w:r>
    </w:p>
    <w:p>
      <w:pPr>
        <w:pStyle w:val="Heading1"/>
        <w:pBdr>
          <w:bottom w:val="single" w:color="1F3864" w:sz="8" w:space="4"/>
        </w:pBdr>
        <w:spacing w:after="160" w:before="360"/>
      </w:pPr>
      <w:r>
        <w:rPr>
          <w:b/>
          <w:bCs/>
          <w:color w:val="1F3864"/>
          <w:sz w:val="30"/>
          <w:szCs w:val="30"/>
        </w:rPr>
        <w:t xml:space="preserve">9. Recommendations</w:t>
      </w:r>
    </w:p>
    <w:p>
      <w:pPr>
        <w:pStyle w:val="ListParagraph"/>
        <w:numPr>
          <w:ilvl w:val="0"/>
          <w:numId w:val="3"/>
        </w:numPr>
        <w:spacing w:after="120"/>
      </w:pPr>
      <w:r>
        <w:rPr>
          <w:b/>
          <w:bCs/>
        </w:rPr>
        <w:t xml:space="preserve">Review publicly exposed technology information — </w:t>
      </w:r>
      <w:r>
        <w:t xml:space="preserve">regularly audit what WHOIS, WhatWeb and HTTP headers reveal about the hosting provider, CMS, plugins and versions in use.</w:t>
      </w:r>
    </w:p>
    <w:p>
      <w:pPr>
        <w:pStyle w:val="ListParagraph"/>
        <w:numPr>
          <w:ilvl w:val="0"/>
          <w:numId w:val="3"/>
        </w:numPr>
        <w:spacing w:after="120"/>
      </w:pPr>
      <w:r>
        <w:rPr>
          <w:b/>
          <w:bCs/>
        </w:rPr>
        <w:t xml:space="preserve">Keep CMS &amp; plugins updated — </w:t>
      </w:r>
      <w:r>
        <w:t xml:space="preserve">WordPress, WP Download Manager and all other components should be patched promptly and checked against current security advisories.</w:t>
      </w:r>
    </w:p>
    <w:p>
      <w:pPr>
        <w:pStyle w:val="ListParagraph"/>
        <w:numPr>
          <w:ilvl w:val="0"/>
          <w:numId w:val="3"/>
        </w:numPr>
        <w:spacing w:after="120"/>
      </w:pPr>
      <w:r>
        <w:rPr>
          <w:b/>
          <w:bCs/>
        </w:rPr>
        <w:t xml:space="preserve">Minimise information in HTTP headers — </w:t>
      </w:r>
      <w:r>
        <w:t xml:space="preserve">review Server, X-Redirect-By and similar headers to avoid unnecessarily naming the exact security plugin or caching stack in use.</w:t>
      </w:r>
    </w:p>
    <w:p>
      <w:pPr>
        <w:pStyle w:val="ListParagraph"/>
        <w:numPr>
          <w:ilvl w:val="0"/>
          <w:numId w:val="3"/>
        </w:numPr>
        <w:spacing w:after="120"/>
      </w:pPr>
      <w:r>
        <w:rPr>
          <w:b/>
          <w:bCs/>
        </w:rPr>
        <w:t xml:space="preserve">Keep DNS records lean and reviewed — </w:t>
      </w:r>
      <w:r>
        <w:t xml:space="preserve">periodically audit NS/MX/TXT/SRV records so only records that are actually required remain publicly resolvable.</w:t>
      </w:r>
    </w:p>
    <w:p>
      <w:pPr>
        <w:pStyle w:val="ListParagraph"/>
        <w:numPr>
          <w:ilvl w:val="0"/>
          <w:numId w:val="3"/>
        </w:numPr>
        <w:spacing w:after="120"/>
      </w:pPr>
      <w:r>
        <w:rPr>
          <w:b/>
          <w:bCs/>
        </w:rPr>
        <w:t xml:space="preserve">Maintain and tune the WAF — </w:t>
      </w:r>
      <w:r>
        <w:t xml:space="preserve">keep ModSecurity enabled, updated and properly tuned, since it already blocks unsophisticated automated attacks.</w:t>
      </w:r>
    </w:p>
    <w:p>
      <w:pPr>
        <w:pStyle w:val="ListParagraph"/>
        <w:numPr>
          <w:ilvl w:val="0"/>
          <w:numId w:val="3"/>
        </w:numPr>
        <w:spacing w:after="120"/>
      </w:pPr>
      <w:r>
        <w:rPr>
          <w:b/>
          <w:bCs/>
        </w:rPr>
        <w:t xml:space="preserve">Secure or remove internet-facing camera/IoT devices — </w:t>
      </w:r>
      <w:r>
        <w:t xml:space="preserve">any exposed camera or embedded-device interface should require strong authentication, be placed behind a VPN, or be taken off the public internet entirely.</w:t>
      </w:r>
    </w:p>
    <w:p>
      <w:pPr>
        <w:pStyle w:val="ListParagraph"/>
        <w:numPr>
          <w:ilvl w:val="0"/>
          <w:numId w:val="3"/>
        </w:numPr>
        <w:spacing w:after="120"/>
      </w:pPr>
      <w:r>
        <w:rPr>
          <w:b/>
          <w:bCs/>
        </w:rPr>
        <w:t xml:space="preserve">Disable directory indexing — </w:t>
      </w:r>
      <w:r>
        <w:t xml:space="preserve">web servers should not display open directory listings; disable autoindex/Options -Indexes on production servers.</w:t>
      </w:r>
    </w:p>
    <w:p>
      <w:pPr>
        <w:pStyle w:val="ListParagraph"/>
        <w:numPr>
          <w:ilvl w:val="0"/>
          <w:numId w:val="3"/>
        </w:numPr>
        <w:spacing w:after="120"/>
      </w:pPr>
      <w:r>
        <w:rPr>
          <w:b/>
          <w:bCs/>
        </w:rPr>
        <w:t xml:space="preserve">Reduce discoverable contact/staff emails — </w:t>
      </w:r>
      <w:r>
        <w:t xml:space="preserve">use role-based aliases and monitored inboxes rather than direct personal addresses where possible, to limit phishing exposure.</w:t>
      </w:r>
    </w:p>
    <w:p>
      <w:pPr>
        <w:pStyle w:val="ListParagraph"/>
        <w:numPr>
          <w:ilvl w:val="0"/>
          <w:numId w:val="3"/>
        </w:numPr>
        <w:spacing w:after="120"/>
      </w:pPr>
      <w:r>
        <w:rPr>
          <w:b/>
          <w:bCs/>
        </w:rPr>
        <w:t xml:space="preserve">Track your own OSINT footprint — </w:t>
      </w:r>
      <w:r>
        <w:t xml:space="preserve">periodically run theHarvester/Maltego against your own domain to see what an attacker would see, and retire or document any forgotten sub-domains that surface.</w:t>
      </w:r>
    </w:p>
    <w:p>
      <w:pPr>
        <w:pStyle w:val="ListParagraph"/>
        <w:numPr>
          <w:ilvl w:val="0"/>
          <w:numId w:val="3"/>
        </w:numPr>
        <w:spacing w:after="120"/>
      </w:pPr>
      <w:r>
        <w:rPr>
          <w:b/>
          <w:bCs/>
        </w:rPr>
        <w:t xml:space="preserve">Perform regular internal network discovery — </w:t>
      </w:r>
      <w:r>
        <w:t xml:space="preserve">periodically ping-scan internal subnets, maintain an asset inventory, and investigate any unrecognised IP/MAC address immediately.</w:t>
      </w:r>
    </w:p>
    <w:p>
      <w:pPr>
        <w:pStyle w:val="ListParagraph"/>
        <w:numPr>
          <w:ilvl w:val="0"/>
          <w:numId w:val="3"/>
        </w:numPr>
        <w:spacing w:after="120"/>
      </w:pPr>
      <w:r>
        <w:rPr>
          <w:b/>
          <w:bCs/>
        </w:rPr>
        <w:t xml:space="preserve">Maintain network documentation — </w:t>
      </w:r>
      <w:r>
        <w:t xml:space="preserve">keep topology diagrams and device/vendor records current so unexpected devices stand out quickly.</w:t>
      </w:r>
    </w:p>
    <w:p>
      <w:pPr>
        <w:pStyle w:val="ListParagraph"/>
        <w:numPr>
          <w:ilvl w:val="0"/>
          <w:numId w:val="3"/>
        </w:numPr>
        <w:spacing w:after="120"/>
      </w:pPr>
      <w:r>
        <w:rPr>
          <w:b/>
          <w:bCs/>
        </w:rPr>
        <w:t xml:space="preserve">Test only with authorization — </w:t>
      </w:r>
      <w:r>
        <w:t xml:space="preserve">all reconnaissance and scanning activity, whether internal or client-facing, must remain within a signed, dated letter of authorization.</w:t>
      </w:r>
    </w:p>
    <w:p>
      <w:r>
        <w:br w:type="page"/>
      </w:r>
    </w:p>
    <w:p>
      <w:pPr>
        <w:pStyle w:val="Heading1"/>
        <w:pBdr>
          <w:bottom w:val="single" w:color="1F3864" w:sz="8" w:space="4"/>
        </w:pBdr>
        <w:spacing w:after="160" w:before="360"/>
      </w:pPr>
      <w:r>
        <w:rPr>
          <w:b/>
          <w:bCs/>
          <w:color w:val="1F3864"/>
          <w:sz w:val="30"/>
          <w:szCs w:val="30"/>
        </w:rPr>
        <w:t xml:space="preserve">10. Conclusion</w:t>
      </w:r>
    </w:p>
    <w:p>
      <w:pPr>
        <w:spacing w:after="160" w:line="276"/>
      </w:pPr>
      <w:r>
        <w:rPr>
          <w:sz w:val="22"/>
          <w:szCs w:val="22"/>
        </w:rPr>
        <w:t xml:space="preserve">During Week 2 of the Cybersecurity &amp; Ethical Hacking internship at Networkwalks, I completed all five project modules covering the Reconnaissance/Footprinting and Scanning/Discovery phases of a penetration test.</w:t>
      </w:r>
    </w:p>
    <w:p>
      <w:pPr>
        <w:spacing w:after="160" w:line="276"/>
      </w:pPr>
      <w:r>
        <w:rPr>
          <w:sz w:val="22"/>
          <w:szCs w:val="22"/>
        </w:rPr>
        <w:t xml:space="preserve">Across Modules 1, 2, 3 and 4, I learned that a substantial public profile of an organisation — its hosting provider, CMS and plugin versions, WAF product, DNS and mail infrastructure, contact emails, exposed devices and sub-domains — can be built entirely from public sources, without the target ever being directly contacted or aware that it is being studied. WHOIS, WhatWeb, Nslookup, Curl, Wafw00f and DNSrecon each contributed one layer of that profile in Module 1; Google dorking (GHDB) in Module 2 showed how a search engine alone can locate exposed devices and files; Maltego in Module 3 demonstrated visual, transform-driven OSINT link analysis; and theHarvester in Module 4 showed both the value and the licensing limits of automated multi-source aggregation.</w:t>
      </w:r>
    </w:p>
    <w:p>
      <w:pPr>
        <w:spacing w:after="160" w:line="276"/>
      </w:pPr>
      <w:r>
        <w:rPr>
          <w:sz w:val="22"/>
          <w:szCs w:val="22"/>
        </w:rPr>
        <w:t xml:space="preserve">In Module 5, I moved from passive footprinting to light active scanning, using Zenmap to identify my local IP configuration, discover 25 live hosts on my own /24 subnet, capture their IP and MAC addresses, and export a network topology diagram — the first direct, if non-intrusive, contact with a target in this project.</w:t>
      </w:r>
    </w:p>
    <w:p>
      <w:pPr>
        <w:spacing w:after="160" w:line="276"/>
      </w:pPr>
      <w:r>
        <w:rPr>
          <w:sz w:val="22"/>
          <w:szCs w:val="22"/>
        </w:rPr>
        <w:t xml:space="preserve">The exercises reinforced that information gathering is a foundational part of cybersecurity work on both sides of the fence: an attacker uses it to plan an intrusion, and a defender uses the same tools and techniques to see their own organisation as an attacker would, and to close avoidable exposures before they are found by someone else. I also learned that a professional report must clearly separate what was observed from what was proven — a software version or an open port is a lead, not a confirmed vulnerability, until it has been validated through further authorized testing.</w:t>
      </w:r>
    </w:p>
    <w:p>
      <w:pPr>
        <w:spacing w:after="160" w:line="276"/>
      </w:pPr>
      <w:r>
        <w:rPr>
          <w:sz w:val="22"/>
          <w:szCs w:val="22"/>
        </w:rPr>
        <w:t xml:space="preserve">Finally, every activity in this report was carried out only against explicitly authorized targets — networkwalks.com under a signed Letter of Authorization, my own local network under owner's consent, and microsoft.com solely via passive, public-source OSINT lookups — reinforcing that reconnaissance and scanning must always stay inside a clearly defined and authorized scope.</w:t>
      </w:r>
    </w:p>
    <w:p>
      <w:r>
        <w:br w:type="page"/>
      </w:r>
    </w:p>
    <w:p>
      <w:pPr>
        <w:pStyle w:val="Heading1"/>
        <w:pBdr>
          <w:bottom w:val="single" w:color="1F3864" w:sz="8" w:space="4"/>
        </w:pBdr>
        <w:spacing w:after="160" w:before="360"/>
      </w:pPr>
      <w:r>
        <w:rPr>
          <w:b/>
          <w:bCs/>
          <w:color w:val="1F3864"/>
          <w:sz w:val="30"/>
          <w:szCs w:val="30"/>
        </w:rPr>
        <w:t xml:space="preserve">11. Evidence Index</w:t>
      </w:r>
    </w:p>
    <w:p>
      <w:pPr>
        <w:spacing w:after="160" w:line="276"/>
      </w:pPr>
      <w:r>
        <w:rPr>
          <w:sz w:val="22"/>
          <w:szCs w:val="22"/>
        </w:rPr>
        <w:t xml:space="preserve">All screenshots referenced throughout Section 6 are indexed below for quick reference. Raw command output for each PM1 tool and theHarvester run was additionally saved as text/Word evidence files alongside this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4888"/>
      </w:tblGrid>
      <w:tr>
        <w:tc>
          <w:tcPr>
            <w:shd w:fill="1F3864" w:val="clear"/>
            <w:tcMar>
              <w:top w:type="dxa" w:w="100"/>
              <w:left w:type="dxa" w:w="120"/>
              <w:bottom w:type="dxa" w:w="100"/>
              <w:right w:type="dxa" w:w="120"/>
            </w:tcMar>
            <w:vAlign w:val="center"/>
          </w:tcPr>
          <w:p>
            <w:r>
              <w:rPr>
                <w:b/>
                <w:bCs/>
                <w:color w:val="FFFFFF"/>
                <w:sz w:val="20"/>
                <w:szCs w:val="20"/>
              </w:rPr>
              <w:t xml:space="preserve">Figure</w:t>
            </w:r>
          </w:p>
        </w:tc>
        <w:tc>
          <w:tcPr>
            <w:shd w:fill="1F3864" w:val="clear"/>
            <w:tcMar>
              <w:top w:type="dxa" w:w="100"/>
              <w:left w:type="dxa" w:w="120"/>
              <w:bottom w:type="dxa" w:w="100"/>
              <w:right w:type="dxa" w:w="120"/>
            </w:tcMar>
            <w:vAlign w:val="center"/>
          </w:tcPr>
          <w:p>
            <w:r>
              <w:rPr>
                <w:b/>
                <w:bCs/>
                <w:color w:val="FFFFFF"/>
                <w:sz w:val="20"/>
                <w:szCs w:val="20"/>
              </w:rPr>
              <w:t xml:space="preserve">Source File</w:t>
            </w:r>
          </w:p>
        </w:tc>
        <w:tc>
          <w:tcPr>
            <w:shd w:fill="1F3864" w:val="clear"/>
            <w:tcMar>
              <w:top w:type="dxa" w:w="100"/>
              <w:left w:type="dxa" w:w="120"/>
              <w:bottom w:type="dxa" w:w="100"/>
              <w:right w:type="dxa" w:w="120"/>
            </w:tcMar>
            <w:vAlign w:val="center"/>
          </w:tcPr>
          <w:p>
            <w:r>
              <w:rPr>
                <w:b/>
                <w:bCs/>
                <w:color w:val="FFFFFF"/>
                <w:sz w:val="20"/>
                <w:szCs w:val="20"/>
              </w:rPr>
              <w:t xml:space="preserve">Description</w:t>
            </w:r>
          </w:p>
        </w:tc>
      </w:tr>
      <w:tr>
        <w:tc>
          <w:tcPr>
            <w:tcMar>
              <w:top w:type="dxa" w:w="100"/>
              <w:left w:type="dxa" w:w="120"/>
              <w:bottom w:type="dxa" w:w="100"/>
              <w:right w:type="dxa" w:w="120"/>
            </w:tcMar>
            <w:vAlign w:val="center"/>
          </w:tcPr>
          <w:p>
            <w:pPr>
              <w:spacing w:after="160" w:line="276"/>
            </w:pPr>
            <w:r>
              <w:rPr>
                <w:sz w:val="22"/>
                <w:szCs w:val="22"/>
              </w:rPr>
              <w:t xml:space="preserve">Fig. 1</w:t>
            </w:r>
          </w:p>
        </w:tc>
        <w:tc>
          <w:tcPr>
            <w:tcMar>
              <w:top w:type="dxa" w:w="100"/>
              <w:left w:type="dxa" w:w="120"/>
              <w:bottom w:type="dxa" w:w="100"/>
              <w:right w:type="dxa" w:w="120"/>
            </w:tcMar>
            <w:vAlign w:val="center"/>
          </w:tcPr>
          <w:p>
            <w:pPr>
              <w:spacing w:after="160" w:line="276"/>
            </w:pPr>
            <w:r>
              <w:rPr>
                <w:sz w:val="22"/>
                <w:szCs w:val="22"/>
              </w:rPr>
              <w:t xml:space="preserve">whois.png</w:t>
            </w:r>
          </w:p>
        </w:tc>
        <w:tc>
          <w:tcPr>
            <w:tcMar>
              <w:top w:type="dxa" w:w="100"/>
              <w:left w:type="dxa" w:w="120"/>
              <w:bottom w:type="dxa" w:w="100"/>
              <w:right w:type="dxa" w:w="120"/>
            </w:tcMar>
            <w:vAlign w:val="center"/>
          </w:tcPr>
          <w:p>
            <w:pPr>
              <w:spacing w:after="160" w:line="276"/>
            </w:pPr>
            <w:r>
              <w:rPr>
                <w:sz w:val="22"/>
                <w:szCs w:val="22"/>
              </w:rPr>
              <w:t xml:space="preserve">WHOIS lookup — networkwalks.com</w:t>
            </w:r>
          </w:p>
        </w:tc>
      </w:tr>
      <w:tr>
        <w:tc>
          <w:tcPr>
            <w:tcMar>
              <w:top w:type="dxa" w:w="100"/>
              <w:left w:type="dxa" w:w="120"/>
              <w:bottom w:type="dxa" w:w="100"/>
              <w:right w:type="dxa" w:w="120"/>
            </w:tcMar>
            <w:vAlign w:val="center"/>
          </w:tcPr>
          <w:p>
            <w:pPr>
              <w:spacing w:after="160" w:line="276"/>
            </w:pPr>
            <w:r>
              <w:rPr>
                <w:sz w:val="22"/>
                <w:szCs w:val="22"/>
              </w:rPr>
              <w:t xml:space="preserve">Fig. 2</w:t>
            </w:r>
          </w:p>
        </w:tc>
        <w:tc>
          <w:tcPr>
            <w:tcMar>
              <w:top w:type="dxa" w:w="100"/>
              <w:left w:type="dxa" w:w="120"/>
              <w:bottom w:type="dxa" w:w="100"/>
              <w:right w:type="dxa" w:w="120"/>
            </w:tcMar>
            <w:vAlign w:val="center"/>
          </w:tcPr>
          <w:p>
            <w:pPr>
              <w:spacing w:after="160" w:line="276"/>
            </w:pPr>
            <w:r>
              <w:rPr>
                <w:sz w:val="22"/>
                <w:szCs w:val="22"/>
              </w:rPr>
              <w:t xml:space="preserve">whatweb.png</w:t>
            </w:r>
          </w:p>
        </w:tc>
        <w:tc>
          <w:tcPr>
            <w:tcMar>
              <w:top w:type="dxa" w:w="100"/>
              <w:left w:type="dxa" w:w="120"/>
              <w:bottom w:type="dxa" w:w="100"/>
              <w:right w:type="dxa" w:w="120"/>
            </w:tcMar>
            <w:vAlign w:val="center"/>
          </w:tcPr>
          <w:p>
            <w:pPr>
              <w:spacing w:after="160" w:line="276"/>
            </w:pPr>
            <w:r>
              <w:rPr>
                <w:sz w:val="22"/>
                <w:szCs w:val="22"/>
              </w:rPr>
              <w:t xml:space="preserve">WhatWeb technology fingerprint — networkwalks.com</w:t>
            </w:r>
          </w:p>
        </w:tc>
      </w:tr>
      <w:tr>
        <w:tc>
          <w:tcPr>
            <w:tcMar>
              <w:top w:type="dxa" w:w="100"/>
              <w:left w:type="dxa" w:w="120"/>
              <w:bottom w:type="dxa" w:w="100"/>
              <w:right w:type="dxa" w:w="120"/>
            </w:tcMar>
            <w:vAlign w:val="center"/>
          </w:tcPr>
          <w:p>
            <w:pPr>
              <w:spacing w:after="160" w:line="276"/>
            </w:pPr>
            <w:r>
              <w:rPr>
                <w:sz w:val="22"/>
                <w:szCs w:val="22"/>
              </w:rPr>
              <w:t xml:space="preserve">Fig. 3</w:t>
            </w:r>
          </w:p>
        </w:tc>
        <w:tc>
          <w:tcPr>
            <w:tcMar>
              <w:top w:type="dxa" w:w="100"/>
              <w:left w:type="dxa" w:w="120"/>
              <w:bottom w:type="dxa" w:w="100"/>
              <w:right w:type="dxa" w:w="120"/>
            </w:tcMar>
            <w:vAlign w:val="center"/>
          </w:tcPr>
          <w:p>
            <w:pPr>
              <w:spacing w:after="160" w:line="276"/>
            </w:pPr>
            <w:r>
              <w:rPr>
                <w:sz w:val="22"/>
                <w:szCs w:val="22"/>
              </w:rPr>
              <w:t xml:space="preserve">nslookup.png</w:t>
            </w:r>
          </w:p>
        </w:tc>
        <w:tc>
          <w:tcPr>
            <w:tcMar>
              <w:top w:type="dxa" w:w="100"/>
              <w:left w:type="dxa" w:w="120"/>
              <w:bottom w:type="dxa" w:w="100"/>
              <w:right w:type="dxa" w:w="120"/>
            </w:tcMar>
            <w:vAlign w:val="center"/>
          </w:tcPr>
          <w:p>
            <w:pPr>
              <w:spacing w:after="160" w:line="276"/>
            </w:pPr>
            <w:r>
              <w:rPr>
                <w:sz w:val="22"/>
                <w:szCs w:val="22"/>
              </w:rPr>
              <w:t xml:space="preserve">Nslookup DNS resolution — networkwalks.com</w:t>
            </w:r>
          </w:p>
        </w:tc>
      </w:tr>
      <w:tr>
        <w:tc>
          <w:tcPr>
            <w:tcMar>
              <w:top w:type="dxa" w:w="100"/>
              <w:left w:type="dxa" w:w="120"/>
              <w:bottom w:type="dxa" w:w="100"/>
              <w:right w:type="dxa" w:w="120"/>
            </w:tcMar>
            <w:vAlign w:val="center"/>
          </w:tcPr>
          <w:p>
            <w:pPr>
              <w:spacing w:after="160" w:line="276"/>
            </w:pPr>
            <w:r>
              <w:rPr>
                <w:sz w:val="22"/>
                <w:szCs w:val="22"/>
              </w:rPr>
              <w:t xml:space="preserve">Fig. 4</w:t>
            </w:r>
          </w:p>
        </w:tc>
        <w:tc>
          <w:tcPr>
            <w:tcMar>
              <w:top w:type="dxa" w:w="100"/>
              <w:left w:type="dxa" w:w="120"/>
              <w:bottom w:type="dxa" w:w="100"/>
              <w:right w:type="dxa" w:w="120"/>
            </w:tcMar>
            <w:vAlign w:val="center"/>
          </w:tcPr>
          <w:p>
            <w:pPr>
              <w:spacing w:after="160" w:line="276"/>
            </w:pPr>
            <w:r>
              <w:rPr>
                <w:sz w:val="22"/>
                <w:szCs w:val="22"/>
              </w:rPr>
              <w:t xml:space="preserve">curl.png</w:t>
            </w:r>
          </w:p>
        </w:tc>
        <w:tc>
          <w:tcPr>
            <w:tcMar>
              <w:top w:type="dxa" w:w="100"/>
              <w:left w:type="dxa" w:w="120"/>
              <w:bottom w:type="dxa" w:w="100"/>
              <w:right w:type="dxa" w:w="120"/>
            </w:tcMar>
            <w:vAlign w:val="center"/>
          </w:tcPr>
          <w:p>
            <w:pPr>
              <w:spacing w:after="160" w:line="276"/>
            </w:pPr>
            <w:r>
              <w:rPr>
                <w:sz w:val="22"/>
                <w:szCs w:val="22"/>
              </w:rPr>
              <w:t xml:space="preserve">Curl -I HTTP headers — networkwalks.com</w:t>
            </w:r>
          </w:p>
        </w:tc>
      </w:tr>
      <w:tr>
        <w:tc>
          <w:tcPr>
            <w:tcMar>
              <w:top w:type="dxa" w:w="100"/>
              <w:left w:type="dxa" w:w="120"/>
              <w:bottom w:type="dxa" w:w="100"/>
              <w:right w:type="dxa" w:w="120"/>
            </w:tcMar>
            <w:vAlign w:val="center"/>
          </w:tcPr>
          <w:p>
            <w:pPr>
              <w:spacing w:after="160" w:line="276"/>
            </w:pPr>
            <w:r>
              <w:rPr>
                <w:sz w:val="22"/>
                <w:szCs w:val="22"/>
              </w:rPr>
              <w:t xml:space="preserve">Fig. 5</w:t>
            </w:r>
          </w:p>
        </w:tc>
        <w:tc>
          <w:tcPr>
            <w:tcMar>
              <w:top w:type="dxa" w:w="100"/>
              <w:left w:type="dxa" w:w="120"/>
              <w:bottom w:type="dxa" w:w="100"/>
              <w:right w:type="dxa" w:w="120"/>
            </w:tcMar>
            <w:vAlign w:val="center"/>
          </w:tcPr>
          <w:p>
            <w:pPr>
              <w:spacing w:after="160" w:line="276"/>
            </w:pPr>
            <w:r>
              <w:rPr>
                <w:sz w:val="22"/>
                <w:szCs w:val="22"/>
              </w:rPr>
              <w:t xml:space="preserve">wafw00f.png</w:t>
            </w:r>
          </w:p>
        </w:tc>
        <w:tc>
          <w:tcPr>
            <w:tcMar>
              <w:top w:type="dxa" w:w="100"/>
              <w:left w:type="dxa" w:w="120"/>
              <w:bottom w:type="dxa" w:w="100"/>
              <w:right w:type="dxa" w:w="120"/>
            </w:tcMar>
            <w:vAlign w:val="center"/>
          </w:tcPr>
          <w:p>
            <w:pPr>
              <w:spacing w:after="160" w:line="276"/>
            </w:pPr>
            <w:r>
              <w:rPr>
                <w:sz w:val="22"/>
                <w:szCs w:val="22"/>
              </w:rPr>
              <w:t xml:space="preserve">Wafw00f WAF detection — networkwalks.com</w:t>
            </w:r>
          </w:p>
        </w:tc>
      </w:tr>
      <w:tr>
        <w:tc>
          <w:tcPr>
            <w:tcMar>
              <w:top w:type="dxa" w:w="100"/>
              <w:left w:type="dxa" w:w="120"/>
              <w:bottom w:type="dxa" w:w="100"/>
              <w:right w:type="dxa" w:w="120"/>
            </w:tcMar>
            <w:vAlign w:val="center"/>
          </w:tcPr>
          <w:p>
            <w:pPr>
              <w:spacing w:after="160" w:line="276"/>
            </w:pPr>
            <w:r>
              <w:rPr>
                <w:sz w:val="22"/>
                <w:szCs w:val="22"/>
              </w:rPr>
              <w:t xml:space="preserve">Fig. 6</w:t>
            </w:r>
          </w:p>
        </w:tc>
        <w:tc>
          <w:tcPr>
            <w:tcMar>
              <w:top w:type="dxa" w:w="100"/>
              <w:left w:type="dxa" w:w="120"/>
              <w:bottom w:type="dxa" w:w="100"/>
              <w:right w:type="dxa" w:w="120"/>
            </w:tcMar>
            <w:vAlign w:val="center"/>
          </w:tcPr>
          <w:p>
            <w:pPr>
              <w:spacing w:after="160" w:line="276"/>
            </w:pPr>
            <w:r>
              <w:rPr>
                <w:sz w:val="22"/>
                <w:szCs w:val="22"/>
              </w:rPr>
              <w:t xml:space="preserve">dnsrecon.png</w:t>
            </w:r>
          </w:p>
        </w:tc>
        <w:tc>
          <w:tcPr>
            <w:tcMar>
              <w:top w:type="dxa" w:w="100"/>
              <w:left w:type="dxa" w:w="120"/>
              <w:bottom w:type="dxa" w:w="100"/>
              <w:right w:type="dxa" w:w="120"/>
            </w:tcMar>
            <w:vAlign w:val="center"/>
          </w:tcPr>
          <w:p>
            <w:pPr>
              <w:spacing w:after="160" w:line="276"/>
            </w:pPr>
            <w:r>
              <w:rPr>
                <w:sz w:val="22"/>
                <w:szCs w:val="22"/>
              </w:rPr>
              <w:t xml:space="preserve">DNSrecon DNS enumeration — networkwalks.com</w:t>
            </w:r>
          </w:p>
        </w:tc>
      </w:tr>
      <w:tr>
        <w:tc>
          <w:tcPr>
            <w:tcMar>
              <w:top w:type="dxa" w:w="100"/>
              <w:left w:type="dxa" w:w="120"/>
              <w:bottom w:type="dxa" w:w="100"/>
              <w:right w:type="dxa" w:w="120"/>
            </w:tcMar>
            <w:vAlign w:val="center"/>
          </w:tcPr>
          <w:p>
            <w:pPr>
              <w:spacing w:after="160" w:line="276"/>
            </w:pPr>
            <w:r>
              <w:rPr>
                <w:sz w:val="22"/>
                <w:szCs w:val="22"/>
              </w:rPr>
              <w:t xml:space="preserve">Fig. 7</w:t>
            </w:r>
          </w:p>
        </w:tc>
        <w:tc>
          <w:tcPr>
            <w:tcMar>
              <w:top w:type="dxa" w:w="100"/>
              <w:left w:type="dxa" w:w="120"/>
              <w:bottom w:type="dxa" w:w="100"/>
              <w:right w:type="dxa" w:w="120"/>
            </w:tcMar>
            <w:vAlign w:val="center"/>
          </w:tcPr>
          <w:p>
            <w:pPr>
              <w:spacing w:after="160" w:line="276"/>
            </w:pPr>
            <w:r>
              <w:rPr>
                <w:sz w:val="22"/>
                <w:szCs w:val="22"/>
              </w:rPr>
              <w:t xml:space="preserve">maltego_email.png</w:t>
            </w:r>
          </w:p>
        </w:tc>
        <w:tc>
          <w:tcPr>
            <w:tcMar>
              <w:top w:type="dxa" w:w="100"/>
              <w:left w:type="dxa" w:w="120"/>
              <w:bottom w:type="dxa" w:w="100"/>
              <w:right w:type="dxa" w:w="120"/>
            </w:tcMar>
            <w:vAlign w:val="center"/>
          </w:tcPr>
          <w:p>
            <w:pPr>
              <w:spacing w:after="160" w:line="276"/>
            </w:pPr>
            <w:r>
              <w:rPr>
                <w:sz w:val="22"/>
                <w:szCs w:val="22"/>
              </w:rPr>
              <w:t xml:space="preserve">Maltego domain-to-email transform graph</w:t>
            </w:r>
          </w:p>
        </w:tc>
      </w:tr>
      <w:tr>
        <w:tc>
          <w:tcPr>
            <w:tcMar>
              <w:top w:type="dxa" w:w="100"/>
              <w:left w:type="dxa" w:w="120"/>
              <w:bottom w:type="dxa" w:w="100"/>
              <w:right w:type="dxa" w:w="120"/>
            </w:tcMar>
            <w:vAlign w:val="center"/>
          </w:tcPr>
          <w:p>
            <w:pPr>
              <w:spacing w:after="160" w:line="276"/>
            </w:pPr>
            <w:r>
              <w:rPr>
                <w:sz w:val="22"/>
                <w:szCs w:val="22"/>
              </w:rPr>
              <w:t xml:space="preserve">Fig. 8</w:t>
            </w:r>
          </w:p>
        </w:tc>
        <w:tc>
          <w:tcPr>
            <w:tcMar>
              <w:top w:type="dxa" w:w="100"/>
              <w:left w:type="dxa" w:w="120"/>
              <w:bottom w:type="dxa" w:w="100"/>
              <w:right w:type="dxa" w:w="120"/>
            </w:tcMar>
            <w:vAlign w:val="center"/>
          </w:tcPr>
          <w:p>
            <w:pPr>
              <w:spacing w:after="160" w:line="276"/>
            </w:pPr>
            <w:r>
              <w:rPr>
                <w:sz w:val="22"/>
                <w:szCs w:val="22"/>
              </w:rPr>
              <w:t xml:space="preserve">theHarvester_microsoft_results.png</w:t>
            </w:r>
          </w:p>
        </w:tc>
        <w:tc>
          <w:tcPr>
            <w:tcMar>
              <w:top w:type="dxa" w:w="100"/>
              <w:left w:type="dxa" w:w="120"/>
              <w:bottom w:type="dxa" w:w="100"/>
              <w:right w:type="dxa" w:w="120"/>
            </w:tcMar>
            <w:vAlign w:val="center"/>
          </w:tcPr>
          <w:p>
            <w:pPr>
              <w:spacing w:after="160" w:line="276"/>
            </w:pPr>
            <w:r>
              <w:rPr>
                <w:sz w:val="22"/>
                <w:szCs w:val="22"/>
              </w:rPr>
              <w:t xml:space="preserve">theHarvester -b baidu results — microsoft.com</w:t>
            </w:r>
          </w:p>
        </w:tc>
      </w:tr>
      <w:tr>
        <w:tc>
          <w:tcPr>
            <w:tcMar>
              <w:top w:type="dxa" w:w="100"/>
              <w:left w:type="dxa" w:w="120"/>
              <w:bottom w:type="dxa" w:w="100"/>
              <w:right w:type="dxa" w:w="120"/>
            </w:tcMar>
            <w:vAlign w:val="center"/>
          </w:tcPr>
          <w:p>
            <w:pPr>
              <w:spacing w:after="160" w:line="276"/>
            </w:pPr>
            <w:r>
              <w:rPr>
                <w:sz w:val="22"/>
                <w:szCs w:val="22"/>
              </w:rPr>
              <w:t xml:space="preserve">Fig. 9</w:t>
            </w:r>
          </w:p>
        </w:tc>
        <w:tc>
          <w:tcPr>
            <w:tcMar>
              <w:top w:type="dxa" w:w="100"/>
              <w:left w:type="dxa" w:w="120"/>
              <w:bottom w:type="dxa" w:w="100"/>
              <w:right w:type="dxa" w:w="120"/>
            </w:tcMar>
            <w:vAlign w:val="center"/>
          </w:tcPr>
          <w:p>
            <w:pPr>
              <w:spacing w:after="160" w:line="276"/>
            </w:pPr>
            <w:r>
              <w:rPr>
                <w:sz w:val="22"/>
                <w:szCs w:val="22"/>
              </w:rPr>
              <w:t xml:space="preserve">harvester2.png</w:t>
            </w:r>
          </w:p>
        </w:tc>
        <w:tc>
          <w:tcPr>
            <w:tcMar>
              <w:top w:type="dxa" w:w="100"/>
              <w:left w:type="dxa" w:w="120"/>
              <w:bottom w:type="dxa" w:w="100"/>
              <w:right w:type="dxa" w:w="120"/>
            </w:tcMar>
            <w:vAlign w:val="center"/>
          </w:tcPr>
          <w:p>
            <w:pPr>
              <w:spacing w:after="160" w:line="276"/>
            </w:pPr>
            <w:r>
              <w:rPr>
                <w:sz w:val="22"/>
                <w:szCs w:val="22"/>
              </w:rPr>
              <w:t xml:space="preserve">theHarvester -b all run — missing API key handling</w:t>
            </w:r>
          </w:p>
        </w:tc>
      </w:tr>
      <w:tr>
        <w:tc>
          <w:tcPr>
            <w:tcMar>
              <w:top w:type="dxa" w:w="100"/>
              <w:left w:type="dxa" w:w="120"/>
              <w:bottom w:type="dxa" w:w="100"/>
              <w:right w:type="dxa" w:w="120"/>
            </w:tcMar>
            <w:vAlign w:val="center"/>
          </w:tcPr>
          <w:p>
            <w:pPr>
              <w:spacing w:after="160" w:line="276"/>
            </w:pPr>
            <w:r>
              <w:rPr>
                <w:sz w:val="22"/>
                <w:szCs w:val="22"/>
              </w:rPr>
              <w:t xml:space="preserve">Fig. 10</w:t>
            </w:r>
          </w:p>
        </w:tc>
        <w:tc>
          <w:tcPr>
            <w:tcMar>
              <w:top w:type="dxa" w:w="100"/>
              <w:left w:type="dxa" w:w="120"/>
              <w:bottom w:type="dxa" w:w="100"/>
              <w:right w:type="dxa" w:w="120"/>
            </w:tcMar>
            <w:vAlign w:val="center"/>
          </w:tcPr>
          <w:p>
            <w:pPr>
              <w:spacing w:after="160" w:line="276"/>
            </w:pPr>
            <w:r>
              <w:rPr>
                <w:sz w:val="22"/>
                <w:szCs w:val="22"/>
              </w:rPr>
              <w:t xml:space="preserve">zenmap.png</w:t>
            </w:r>
          </w:p>
        </w:tc>
        <w:tc>
          <w:tcPr>
            <w:tcMar>
              <w:top w:type="dxa" w:w="100"/>
              <w:left w:type="dxa" w:w="120"/>
              <w:bottom w:type="dxa" w:w="100"/>
              <w:right w:type="dxa" w:w="120"/>
            </w:tcMar>
            <w:vAlign w:val="center"/>
          </w:tcPr>
          <w:p>
            <w:pPr>
              <w:spacing w:after="160" w:line="276"/>
            </w:pPr>
            <w:r>
              <w:rPr>
                <w:sz w:val="22"/>
                <w:szCs w:val="22"/>
              </w:rPr>
              <w:t xml:space="preserve">Zenmap ping-scan output — 192.168.3.0/24</w:t>
            </w:r>
          </w:p>
        </w:tc>
      </w:tr>
      <w:tr>
        <w:tc>
          <w:tcPr>
            <w:tcMar>
              <w:top w:type="dxa" w:w="100"/>
              <w:left w:type="dxa" w:w="120"/>
              <w:bottom w:type="dxa" w:w="100"/>
              <w:right w:type="dxa" w:w="120"/>
            </w:tcMar>
            <w:vAlign w:val="center"/>
          </w:tcPr>
          <w:p>
            <w:pPr>
              <w:spacing w:after="160" w:line="276"/>
            </w:pPr>
            <w:r>
              <w:rPr>
                <w:sz w:val="22"/>
                <w:szCs w:val="22"/>
              </w:rPr>
              <w:t xml:space="preserve">Fig. 11</w:t>
            </w:r>
          </w:p>
        </w:tc>
        <w:tc>
          <w:tcPr>
            <w:tcMar>
              <w:top w:type="dxa" w:w="100"/>
              <w:left w:type="dxa" w:w="120"/>
              <w:bottom w:type="dxa" w:w="100"/>
              <w:right w:type="dxa" w:w="120"/>
            </w:tcMar>
            <w:vAlign w:val="center"/>
          </w:tcPr>
          <w:p>
            <w:pPr>
              <w:spacing w:after="160" w:line="276"/>
            </w:pPr>
            <w:r>
              <w:rPr>
                <w:sz w:val="22"/>
                <w:szCs w:val="22"/>
              </w:rPr>
              <w:t xml:space="preserve">Zenmap_results.pdf</w:t>
            </w:r>
          </w:p>
        </w:tc>
        <w:tc>
          <w:tcPr>
            <w:tcMar>
              <w:top w:type="dxa" w:w="100"/>
              <w:left w:type="dxa" w:w="120"/>
              <w:bottom w:type="dxa" w:w="100"/>
              <w:right w:type="dxa" w:w="120"/>
            </w:tcMar>
            <w:vAlign w:val="center"/>
          </w:tcPr>
          <w:p>
            <w:pPr>
              <w:spacing w:after="160" w:line="276"/>
            </w:pPr>
            <w:r>
              <w:rPr>
                <w:sz w:val="22"/>
                <w:szCs w:val="22"/>
              </w:rPr>
              <w:t xml:space="preserve">Zenmap network topology diagram — 192.168.3.0/24</w:t>
            </w:r>
          </w:p>
        </w:tc>
      </w:tr>
    </w:tbl>
    <w:p>
      <w:r>
        <w:br w:type="page"/>
      </w:r>
    </w:p>
    <w:p>
      <w:pPr>
        <w:spacing w:after="60" w:before="200"/>
        <w:jc w:val="center"/>
      </w:pPr>
      <w:r>
        <w:rPr>
          <w:i/>
          <w:iCs/>
          <w:color w:val="808080"/>
          <w:sz w:val="22"/>
          <w:szCs w:val="22"/>
        </w:rPr>
        <w:t xml:space="preserve">— End of Report —</w:t>
      </w:r>
    </w:p>
    <w:p>
      <w:pPr>
        <w:spacing w:after="40" w:before="400"/>
      </w:pPr>
      <w:r>
        <w:rPr>
          <w:b/>
          <w:bCs/>
          <w:color w:val="1F3864"/>
          <w:sz w:val="24"/>
          <w:szCs w:val="24"/>
        </w:rPr>
        <w:t xml:space="preserve">Author</w:t>
      </w:r>
    </w:p>
    <w:p>
      <w:pPr>
        <w:spacing w:after="20"/>
      </w:pPr>
      <w:r>
        <w:rPr>
          <w:b/>
          <w:bCs/>
          <w:sz w:val="22"/>
          <w:szCs w:val="22"/>
        </w:rPr>
        <w:t xml:space="preserve">Abubakar Issa Sabalah</w:t>
      </w:r>
    </w:p>
    <w:p>
      <w:pPr>
        <w:spacing w:after="20"/>
      </w:pPr>
      <w:r>
        <w:rPr>
          <w:sz w:val="20"/>
          <w:szCs w:val="20"/>
        </w:rPr>
        <w:t xml:space="preserve">Cybersecurity &amp; Ethical Hacking Intern — Batch B082, Networkwalks</w:t>
      </w:r>
    </w:p>
    <w:p>
      <w:pPr>
        <w:spacing w:after="200"/>
      </w:pPr>
      <w:r>
        <w:rPr>
          <w:sz w:val="20"/>
          <w:szCs w:val="20"/>
        </w:rPr>
        <w:t xml:space="preserve">LinkedIn: [add your LinkedIn URL]</w:t>
      </w:r>
    </w:p>
    <w:p>
      <w:pPr>
        <w:spacing w:after="40" w:before="200"/>
      </w:pPr>
      <w:r>
        <w:rPr>
          <w:b/>
          <w:bCs/>
          <w:color w:val="1F3864"/>
          <w:sz w:val="24"/>
          <w:szCs w:val="24"/>
        </w:rPr>
        <w:t xml:space="preserve">Project Information</w:t>
      </w:r>
    </w:p>
    <w:p>
      <w:pPr>
        <w:spacing w:after="20"/>
      </w:pPr>
      <w:r>
        <w:rPr>
          <w:sz w:val="20"/>
          <w:szCs w:val="20"/>
        </w:rPr>
        <w:t xml:space="preserve">Program: Cybersecurity &amp; Ethical Hacking Internship at Networkwalks   |   Week: 02   |   Modules: W2-PM1 – W2-PM5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r>
      <w:rPr>
        <w:color w:val="808080"/>
        <w:sz w:val="16"/>
        <w:szCs w:val="16"/>
      </w:rPr>
      <w:t xml:space="preserve">   |   Confidential — Internal Training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808080"/>
        <w:sz w:val="16"/>
        <w:szCs w:val="16"/>
      </w:rPr>
      <w:t xml:space="preserve">Networkwalks — B082 Cybersecurity Internship</w:t>
    </w:r>
    <w:r>
      <w:rPr>
        <w:color w:val="808080"/>
        <w:sz w:val="16"/>
        <w:szCs w:val="16"/>
      </w:rPr>
      <w:t xml:space="preserve">	Week 2 Pentest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07c8dcb8cc10eb0b2652015b22f47699a72e33.png"/><Relationship Id="rId10" Type="http://schemas.openxmlformats.org/officeDocument/2006/relationships/image" Target="media/de14f8a79c0647d35928c22dc387260264a64b4a.png"/><Relationship Id="rId11" Type="http://schemas.openxmlformats.org/officeDocument/2006/relationships/image" Target="media/1380d1b0bbf660971ac8a1c6bede4645271010f6.png"/><Relationship Id="rId12" Type="http://schemas.openxmlformats.org/officeDocument/2006/relationships/image" Target="media/dc49de9d99733a9fd696cabd430022bfcfc1ad2c.png"/><Relationship Id="rId13" Type="http://schemas.openxmlformats.org/officeDocument/2006/relationships/image" Target="media/f46ea91f450babe9a13e77fb9c15c86c9a40fa92.png"/><Relationship Id="rId14" Type="http://schemas.openxmlformats.org/officeDocument/2006/relationships/image" Target="media/00cd86fdebedf2f7605691b028eaf9cf524a1843.png"/><Relationship Id="rId15" Type="http://schemas.openxmlformats.org/officeDocument/2006/relationships/image" Target="media/c3f8e0c236137bc79cc38fd79c37215ae531d4ce.png"/><Relationship Id="rId16" Type="http://schemas.openxmlformats.org/officeDocument/2006/relationships/image" Target="media/b48d637bd63991a1897657b4d430da76e203e56b.png"/><Relationship Id="rId17" Type="http://schemas.openxmlformats.org/officeDocument/2006/relationships/image" Target="media/aca1e95b93a35705f52152582bf790dd18bbc200.png"/><Relationship Id="rId18" Type="http://schemas.openxmlformats.org/officeDocument/2006/relationships/image" Target="media/480143a0388a8d74c9bfc2874a8aeba0d1179a95.png"/><Relationship Id="rId19" Type="http://schemas.openxmlformats.org/officeDocument/2006/relationships/image" Target="media/3ca897b0181630ccc8d3a3a8764133a73fb4e8a2.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2026-08-20T03:20:39.963Z</dcterms:created>
  <dcterms:modified xsi:type="dcterms:W3CDTF">2026-08-20T03:20:39.972Z</dcterms:modified>
</cp:coreProperties>
</file>

<file path=docProps/custom.xml><?xml version="1.0" encoding="utf-8"?>
<Properties xmlns="http://schemas.openxmlformats.org/officeDocument/2006/custom-properties" xmlns:vt="http://schemas.openxmlformats.org/officeDocument/2006/docPropsVTypes"/>
</file>