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EB001B"/>
          <w:sz w:val="52"/>
        </w:rPr>
        <w:t>SENTRIX AI</w:t>
      </w:r>
    </w:p>
    <w:p>
      <w:pPr>
        <w:jc w:val="center"/>
      </w:pPr>
      <w:r>
        <w:rPr>
          <w:rFonts w:ascii="Arial" w:hAnsi="Arial"/>
          <w:i/>
          <w:color w:val="646464"/>
          <w:sz w:val="26"/>
        </w:rPr>
        <w:t>Autonomous Multi-Modal Red Teaming &amp; Self-Healing Defense Platform for Next-Gen Payment Security</w:t>
      </w:r>
    </w:p>
    <w:p>
      <w:pPr>
        <w:jc w:val="center"/>
      </w:pPr>
      <w:r>
        <w:rPr>
          <w:rFonts w:ascii="Arial" w:hAnsi="Arial"/>
          <w:b/>
          <w:color w:val="FF5F00"/>
          <w:sz w:val="20"/>
        </w:rPr>
        <w:t>Mastercard Innovation Challenge @ Global Fintech Fest (GFF) 2026 | Submission Category: AI Defense Lab</w:t>
      </w:r>
    </w:p>
    <w:p>
      <w:pPr>
        <w:jc w:val="center"/>
      </w:pPr>
      <w:r>
        <w:t>―――――――――――――――――――――――――――――――――――――――――――――――――――――――</w:t>
      </w:r>
    </w:p>
    <w:tbl>
      <w:tblPr>
        <w:tblW w:type="auto" w:w="0"/>
        <w:jc w:val="center"/>
        <w:tblLayout w:type="fixed"/>
        <w:tblLook w:firstColumn="1" w:firstRow="1" w:lastColumn="0" w:lastRow="0" w:noHBand="0" w:noVBand="1" w:val="04A0"/>
      </w:tblPr>
      <w:tblGrid>
        <w:gridCol w:w="4968"/>
        <w:gridCol w:w="4968"/>
      </w:tblGrid>
      <w:tr>
        <w:tc>
          <w:tcPr>
            <w:tcW w:type="dxa" w:w="4968"/>
            <w:shd w:fill="F2F2F2"/>
          </w:tcPr>
          <w:p>
            <w:r>
              <w:rPr>
                <w:b/>
              </w:rPr>
              <w:t>Project &amp; Repository Links</w:t>
            </w:r>
          </w:p>
        </w:tc>
        <w:tc>
          <w:tcPr>
            <w:tcW w:type="dxa" w:w="4968"/>
            <w:shd w:fill="F2F2F2"/>
          </w:tcPr>
          <w:p>
            <w:r>
              <w:rPr>
                <w:b/>
              </w:rPr>
              <w:t>Submission &amp; Team Metadata</w:t>
            </w:r>
          </w:p>
        </w:tc>
      </w:tr>
      <w:tr>
        <w:tc>
          <w:tcPr>
            <w:tcW w:type="dxa" w:w="4968"/>
          </w:tcPr>
          <w:p>
            <w:r>
              <w:t>• Live Web Platform: https://sentrix-ai-seven.vercel.app/</w:t>
              <w:br/>
              <w:t>• FastAPI API Docs: https://master-card.onrender.com/docs</w:t>
              <w:br/>
              <w:t>• Public GitHub Repo: https://github.com/Abuzaid-01/master_card</w:t>
            </w:r>
          </w:p>
        </w:tc>
        <w:tc>
          <w:tcPr>
            <w:tcW w:type="dxa" w:w="4968"/>
          </w:tcPr>
          <w:p>
            <w:r>
              <w:t>• Team Name: Abuzaid_2005</w:t>
              <w:br/>
              <w:t>• Target Event: GFF 2026, Mumbai (Jio World Centre)</w:t>
              <w:br/>
              <w:t>• Track: Red Team / Blue Team AI Defense Lab</w:t>
              <w:br/>
              <w:t>• Submission Deadline: 31st August 2026</w:t>
            </w:r>
          </w:p>
        </w:tc>
      </w:tr>
      <w:tr>
        <w:tc>
          <w:tcPr>
            <w:tcW w:type="dxa" w:w="4968"/>
            <w:shd w:fill="FAFAFA"/>
          </w:tcPr>
          <w:p>
            <w:r>
              <w:rPr>
                <w:b/>
              </w:rPr>
              <w:t>Team Members &amp; Registered Email IDs:</w:t>
            </w:r>
          </w:p>
        </w:tc>
        <w:tc>
          <w:tcPr>
            <w:tcW w:type="dxa" w:w="4968"/>
            <w:shd w:fill="FAFAFA"/>
          </w:tcPr>
          <w:p>
            <w:r>
              <w:t>1. Abuzaid — abuzaid0205@gmail.com</w:t>
              <w:br/>
              <w:t>2. Dipesh Kumar — dipeshkumar0853822@gmail.com</w:t>
            </w:r>
          </w:p>
        </w:tc>
      </w:tr>
    </w:tbl>
    <w:p/>
    <w:p>
      <w:pPr>
        <w:pStyle w:val="Heading1"/>
      </w:pPr>
      <w:r>
        <w:rPr>
          <w:color w:val="EB001B"/>
        </w:rPr>
        <w:t>1. Executive Summary &amp; Core Innovation</w:t>
      </w:r>
    </w:p>
    <w:p>
      <w:r>
        <w:t>Generative AI has fundamentally reshaped financial cybercrime by lowering attack costs, enabling dynamic behavioral evasion, and weaponizing conversational interfaces at scale. Traditional payment defenses operate in isolated silos—the chatbot safety team, payment authorization gateway, and anti-money laundering (AML) graph units evaluate events independently. Modern fraud syndicates exploit these blind spots via compound kill-chains: using conversational prompt injection to suppress SMS alerts, executing automated card testing micro-bursts across merchant channels, and instantly laundering funds through multi-hop mule networks within seconds.</w:t>
      </w:r>
    </w:p>
    <w:p>
      <w:r>
        <w:t>SENTRIX AI delivers an end-to-end, closed-loop Red Team/Blue Team platform designed specifically for payment networks. It operates across three tightly integrated pillars: (1) an exhaustive 36-vector threat taxonomy grounded in FinCEN Alert FIN-2024-Alert004 and Federal Reserve FraudClassifier standards, (2) high-fidelity synthetic attack generators verified against real IEEE-CIS data with 100% domain invariant compliance across 38 rules, and (3) a multi-model defense suite featuring sub-millisecond ONNX-quantized inference, dense semantic prompt injection detectors, topological graph GBDTs, financial cost optimization, and active learning retraining that eliminates catastrophic forgetting.</w:t>
      </w:r>
    </w:p>
    <w:p>
      <w:pPr>
        <w:pStyle w:val="Heading1"/>
      </w:pPr>
      <w:r>
        <w:rPr>
          <w:color w:val="EB001B"/>
        </w:rPr>
        <w:t>2. Pillar 1: Threat Identification &amp; 36-Vector Taxonomy</w:t>
      </w:r>
    </w:p>
    <w:p>
      <w:r>
        <w:t>Rather than focusing on narrow fraud patterns, SENTRIX AI establishes an exhaustive 36-vector threat taxonomy categorized across 5 distinct operational pillars. Every vector is grounded in real payment protocols, cardholder behavioral data, and official regulatory advisories:</w:t>
      </w:r>
    </w:p>
    <w:tbl>
      <w:tblPr>
        <w:tblW w:type="auto" w:w="0"/>
        <w:jc w:val="center"/>
        <w:tblLook w:firstColumn="1" w:firstRow="1" w:lastColumn="0" w:lastRow="0" w:noHBand="0" w:noVBand="1" w:val="04A0"/>
      </w:tblPr>
      <w:tblGrid>
        <w:gridCol w:w="4968"/>
        <w:gridCol w:w="4968"/>
      </w:tblGrid>
      <w:tr>
        <w:tc>
          <w:tcPr>
            <w:tcW w:type="dxa" w:w="4968"/>
            <w:shd w:fill="EAEAEA"/>
          </w:tcPr>
          <w:p>
            <w:r>
              <w:rPr>
                <w:b/>
              </w:rPr>
              <w:t>Operational Threat Pillar</w:t>
            </w:r>
          </w:p>
        </w:tc>
        <w:tc>
          <w:tcPr>
            <w:tcW w:type="dxa" w:w="4968"/>
            <w:shd w:fill="EAEAEA"/>
          </w:tcPr>
          <w:p>
            <w:r>
              <w:rPr>
                <w:b/>
              </w:rPr>
              <w:t>Vectors &amp; Real-World Threat Mechanics</w:t>
            </w:r>
          </w:p>
        </w:tc>
      </w:tr>
      <w:tr>
        <w:tc>
          <w:tcPr>
            <w:tcW w:type="dxa" w:w="4968"/>
          </w:tcPr>
          <w:p>
            <w:r>
              <w:rPr>
                <w:b/>
              </w:rPr>
              <w:t>Pillar 1: AI Red-Teaming &amp; Social Engineering (8 Vectors)</w:t>
            </w:r>
          </w:p>
        </w:tc>
        <w:tc>
          <w:tcPr>
            <w:tcW w:type="dxa" w:w="4968"/>
          </w:tcPr>
          <w:p>
            <w:r>
              <w:t>V01: Admin Impersonation Override, V02: API Tool Hijack, V03: AML Officer Pretext, V04: Voice Clone Vishing, V05: Safe-Account Coercion, V06: Pig-Butchering Romance, V07: B2B Invoice Forgery, V08: Agentic MCP Tool Hijack.</w:t>
            </w:r>
          </w:p>
        </w:tc>
      </w:tr>
      <w:tr>
        <w:tc>
          <w:tcPr>
            <w:tcW w:type="dxa" w:w="4968"/>
          </w:tcPr>
          <w:p>
            <w:r>
              <w:rPr>
                <w:b/>
              </w:rPr>
              <w:t>Pillar 2: Synthetic Data &amp; Obfuscation (7 Vectors)</w:t>
            </w:r>
          </w:p>
        </w:tc>
        <w:tc>
          <w:tcPr>
            <w:tcW w:type="dxa" w:w="4968"/>
          </w:tcPr>
          <w:p>
            <w:r>
              <w:t>V09: Base64/Unicode Masking, V10: Indirect Memo Injection, V11: Multi-Turn Context Poisoning, V12: Multilingual Cross-Lingual Evasion, V13: Prompt Leaking Recon, V14: Social Urgency Hijack, V15: DAN Persona Jailbreak.</w:t>
            </w:r>
          </w:p>
        </w:tc>
      </w:tr>
      <w:tr>
        <w:tc>
          <w:tcPr>
            <w:tcW w:type="dxa" w:w="4968"/>
          </w:tcPr>
          <w:p>
            <w:r>
              <w:rPr>
                <w:b/>
              </w:rPr>
              <w:t>Pillar 3: Multi-Rail &amp; Digital Payment Exploits (7 Vectors)</w:t>
            </w:r>
          </w:p>
        </w:tc>
        <w:tc>
          <w:tcPr>
            <w:tcW w:type="dxa" w:w="4968"/>
          </w:tcPr>
          <w:p>
            <w:r>
              <w:t>V16: Digital Wallet Push Provisioning Bypass, V17: Ghost Tap &amp; Contactless NFC Relay, V18: BOPIS Mule Laundering, V19: BNPL Synthetic Stacking, V20: Refund-as-a-Service (RaaS), V21: Distributed Low-and-Slow BIN Enumeration, V22: Synthetic Merchant Bust-Out.</w:t>
            </w:r>
          </w:p>
        </w:tc>
      </w:tr>
      <w:tr>
        <w:tc>
          <w:tcPr>
            <w:tcW w:type="dxa" w:w="4968"/>
          </w:tcPr>
          <w:p>
            <w:r>
              <w:rPr>
                <w:b/>
              </w:rPr>
              <w:t>Pillar 4: Money Laundering &amp; Network Topologies (7 Vectors)</w:t>
            </w:r>
          </w:p>
        </w:tc>
        <w:tc>
          <w:tcPr>
            <w:tcW w:type="dxa" w:w="4968"/>
          </w:tcPr>
          <w:p>
            <w:r>
              <w:t>V23: Multi-Hop Linear Mule Chains, V24: Fan-Out Dispersal Sweeps, V25: Smurfing &amp; Structuring Funnels, V26: Round-Trip Wash Cycles, V27: Instant Micro-Smurfing (UPI/FedNow), V28: Chameleon Mule Networks (90/10 noise), V29: Crypto Off-Ramp Mixers.</w:t>
            </w:r>
          </w:p>
        </w:tc>
      </w:tr>
      <w:tr>
        <w:tc>
          <w:tcPr>
            <w:tcW w:type="dxa" w:w="4968"/>
          </w:tcPr>
          <w:p>
            <w:r>
              <w:rPr>
                <w:b/>
              </w:rPr>
              <w:t>Pillar 5: Adversarial Evasion &amp; Active Learning (7 Vectors)</w:t>
            </w:r>
          </w:p>
        </w:tc>
        <w:tc>
          <w:tcPr>
            <w:tcW w:type="dxa" w:w="4968"/>
          </w:tcPr>
          <w:p>
            <w:r>
              <w:t>V30: Amount Skirting ($1.99), V31: Velocity Dilution (Poisson throttling), V32: Canvas &amp; Residential Geo-Spoofing, V33: Decline Masking &amp; Age Inflation, V34: Training Set Model Poisoning, V35: Adaptive RL Boundary Prober, V36: Black-Box Surrogate Boundary Gradient Probing.</w:t>
            </w:r>
          </w:p>
        </w:tc>
      </w:tr>
    </w:tbl>
    <w:p/>
    <w:p>
      <w:pPr>
        <w:pStyle w:val="Heading1"/>
      </w:pPr>
      <w:r>
        <w:rPr>
          <w:color w:val="EB001B"/>
        </w:rPr>
        <w:t>3. Pillar 2: Synthetic Attack Generation &amp; Statistical Fidelity</w:t>
      </w:r>
    </w:p>
    <w:p>
      <w:r>
        <w:t>To ensure generated attack datasets are genuinely useful for training production defenses, SENTRIX AI deploys modality-specific synthetic generators governed by strict domain invariants:</w:t>
      </w:r>
    </w:p>
    <w:tbl>
      <w:tblPr>
        <w:tblW w:type="auto" w:w="0"/>
        <w:jc w:val="center"/>
        <w:tblLook w:firstColumn="1" w:firstRow="1" w:lastColumn="0" w:lastRow="0" w:noHBand="0" w:noVBand="1" w:val="04A0"/>
      </w:tblPr>
      <w:tblGrid>
        <w:gridCol w:w="2484"/>
        <w:gridCol w:w="2484"/>
        <w:gridCol w:w="2484"/>
        <w:gridCol w:w="2484"/>
      </w:tblGrid>
      <w:tr>
        <w:tc>
          <w:tcPr>
            <w:tcW w:type="dxa" w:w="2484"/>
            <w:shd w:fill="EAEAEA"/>
          </w:tcPr>
          <w:p>
            <w:r>
              <w:rPr>
                <w:b/>
              </w:rPr>
              <w:t>Modality</w:t>
            </w:r>
          </w:p>
        </w:tc>
        <w:tc>
          <w:tcPr>
            <w:tcW w:type="dxa" w:w="2484"/>
            <w:shd w:fill="EAEAEA"/>
          </w:tcPr>
          <w:p>
            <w:r>
              <w:rPr>
                <w:b/>
              </w:rPr>
              <w:t>Volume</w:t>
            </w:r>
          </w:p>
        </w:tc>
        <w:tc>
          <w:tcPr>
            <w:tcW w:type="dxa" w:w="2484"/>
            <w:shd w:fill="EAEAEA"/>
          </w:tcPr>
          <w:p>
            <w:r>
              <w:rPr>
                <w:b/>
              </w:rPr>
              <w:t>Feature Space &amp; Architecture</w:t>
            </w:r>
          </w:p>
        </w:tc>
        <w:tc>
          <w:tcPr>
            <w:tcW w:type="dxa" w:w="2484"/>
            <w:shd w:fill="EAEAEA"/>
          </w:tcPr>
          <w:p>
            <w:r>
              <w:rPr>
                <w:b/>
              </w:rPr>
              <w:t>Domain Pass Rate</w:t>
            </w:r>
          </w:p>
        </w:tc>
      </w:tr>
      <w:tr>
        <w:tc>
          <w:tcPr>
            <w:tcW w:type="dxa" w:w="2484"/>
          </w:tcPr>
          <w:p>
            <w:r>
              <w:rPr>
                <w:b/>
              </w:rPr>
              <w:t>Tabular Card Testing</w:t>
            </w:r>
          </w:p>
        </w:tc>
        <w:tc>
          <w:tcPr>
            <w:tcW w:type="dxa" w:w="2484"/>
          </w:tcPr>
          <w:p>
            <w:r>
              <w:t>50,000 Transactions</w:t>
            </w:r>
          </w:p>
        </w:tc>
        <w:tc>
          <w:tcPr>
            <w:tcW w:type="dxa" w:w="2484"/>
          </w:tcPr>
          <w:p>
            <w:r>
              <w:t>12 sub-types across 15 enterprise features (Amount, Velocity, Device Risk, Decline, Diurnal Sin/Cos, MCC Weight, Geo Distance, Card Age, Failed Attempts, Provisioning Channel, NFC Tap Latency, BNPL Inquiries, RaaS Dispute Score, BOPIS Delay).</w:t>
            </w:r>
          </w:p>
        </w:tc>
        <w:tc>
          <w:tcPr>
            <w:tcW w:type="dxa" w:w="2484"/>
          </w:tcPr>
          <w:p>
            <w:r>
              <w:t>100.0% Pass Rate (13 Invariant Rules TAB.1–TAB.13)</w:t>
            </w:r>
          </w:p>
        </w:tc>
      </w:tr>
      <w:tr>
        <w:tc>
          <w:tcPr>
            <w:tcW w:type="dxa" w:w="2484"/>
          </w:tcPr>
          <w:p>
            <w:r>
              <w:rPr>
                <w:b/>
              </w:rPr>
              <w:t>Prompt Injection Text</w:t>
            </w:r>
          </w:p>
        </w:tc>
        <w:tc>
          <w:tcPr>
            <w:tcW w:type="dxa" w:w="2484"/>
          </w:tcPr>
          <w:p>
            <w:r>
              <w:t>1,500 Prompts</w:t>
            </w:r>
          </w:p>
        </w:tc>
        <w:tc>
          <w:tcPr>
            <w:tcW w:type="dxa" w:w="2484"/>
          </w:tcPr>
          <w:p>
            <w:r>
              <w:t>18 categories (17 adversarial + legitimate inquiries) synthesized via Groq Cloud (GPT OSS 120B / Llama 3.3 70B) and Google Gemini 3.5 Flash Lite with Platt-calibrated embeddings.</w:t>
            </w:r>
          </w:p>
        </w:tc>
        <w:tc>
          <w:tcPr>
            <w:tcW w:type="dxa" w:w="2484"/>
          </w:tcPr>
          <w:p>
            <w:r>
              <w:t>100.0% Pass Rate (6 Invariant Rules T.1–T.6)</w:t>
            </w:r>
          </w:p>
        </w:tc>
      </w:tr>
      <w:tr>
        <w:tc>
          <w:tcPr>
            <w:tcW w:type="dxa" w:w="2484"/>
          </w:tcPr>
          <w:p>
            <w:r>
              <w:rPr>
                <w:b/>
              </w:rPr>
              <w:t>Money Mule Network Graph</w:t>
            </w:r>
          </w:p>
        </w:tc>
        <w:tc>
          <w:tcPr>
            <w:tcW w:type="dxa" w:w="2484"/>
          </w:tcPr>
          <w:p>
            <w:r>
              <w:t>7,478 Transfers</w:t>
            </w:r>
          </w:p>
        </w:tc>
        <w:tc>
          <w:tcPr>
            <w:tcW w:type="dxa" w:w="2484"/>
          </w:tcPr>
          <w:p>
            <w:r>
              <w:t>1,000 nodes, 100 mule rings, 7 laundering topologies generated using NetworkX directed multi-graphs with conserved monetary flow and realistic timestamp delays.</w:t>
            </w:r>
          </w:p>
        </w:tc>
        <w:tc>
          <w:tcPr>
            <w:tcW w:type="dxa" w:w="2484"/>
          </w:tcPr>
          <w:p>
            <w:r>
              <w:t>100.0% Pass Rate (6 Invariant Rules G.1–G.6)</w:t>
            </w:r>
          </w:p>
        </w:tc>
      </w:tr>
      <w:tr>
        <w:tc>
          <w:tcPr>
            <w:tcW w:type="dxa" w:w="2484"/>
          </w:tcPr>
          <w:p>
            <w:r>
              <w:rPr>
                <w:b/>
              </w:rPr>
              <w:t>Adversarial Evasion</w:t>
            </w:r>
          </w:p>
        </w:tc>
        <w:tc>
          <w:tcPr>
            <w:tcW w:type="dxa" w:w="2484"/>
          </w:tcPr>
          <w:p>
            <w:r>
              <w:t>50,000 Perturbations</w:t>
            </w:r>
          </w:p>
        </w:tc>
        <w:tc>
          <w:tcPr>
            <w:tcW w:type="dxa" w:w="2484"/>
          </w:tcPr>
          <w:p>
            <w:r>
              <w:t>7 adversarial attack strategies applying boundary-skirting perturbations, model poisoning triggers, and reinforcement learning policy shifts.</w:t>
            </w:r>
          </w:p>
        </w:tc>
        <w:tc>
          <w:tcPr>
            <w:tcW w:type="dxa" w:w="2484"/>
          </w:tcPr>
          <w:p>
            <w:r>
              <w:t>100.0% Pass Rate (13 Invariant Rules EV.1–EV.13)</w:t>
            </w:r>
          </w:p>
        </w:tc>
      </w:tr>
      <w:tr>
        <w:tc>
          <w:tcPr>
            <w:tcW w:type="dxa" w:w="2484"/>
          </w:tcPr>
          <w:p>
            <w:r>
              <w:rPr>
                <w:b/>
              </w:rPr>
              <w:t>Cross-Vector Scenarios</w:t>
            </w:r>
          </w:p>
        </w:tc>
        <w:tc>
          <w:tcPr>
            <w:tcW w:type="dxa" w:w="2484"/>
          </w:tcPr>
          <w:p>
            <w:r>
              <w:t>100 Unique Campaigns</w:t>
            </w:r>
          </w:p>
        </w:tc>
        <w:tc>
          <w:tcPr>
            <w:tcW w:type="dxa" w:w="2484"/>
          </w:tcPr>
          <w:p>
            <w:r>
              <w:t>Procedural multi-stage campaigns correlating chatbot text injection, gateway card testing, and graph laundering flows with 100% unique entity IDs.</w:t>
            </w:r>
          </w:p>
        </w:tc>
        <w:tc>
          <w:tcPr>
            <w:tcW w:type="dxa" w:w="2484"/>
          </w:tcPr>
          <w:p>
            <w:r>
              <w:t>100.0% Unique Entities &amp; Valid Timelines</w:t>
            </w:r>
          </w:p>
        </w:tc>
      </w:tr>
    </w:tbl>
    <w:p>
      <w:r>
        <w:br/>
        <w:t>Fidelity Benchmark: Evaluated using Train-on-Synthetic, Test-on-Real (TSTR) protocol against 20,000 real IEEE-CIS fraud benchmark records (TransactionAmt, C12 velocity, V201 device risk), confirming statistical distributional alignment without synthetic artifacts.</w:t>
      </w:r>
    </w:p>
    <w:p>
      <w:pPr>
        <w:pStyle w:val="Heading1"/>
      </w:pPr>
      <w:r>
        <w:rPr>
          <w:color w:val="EB001B"/>
        </w:rPr>
        <w:t>4. Pillar 3: Multi-Model Defense Heads &amp; Efficacy</w:t>
      </w:r>
    </w:p>
    <w:p>
      <w:r>
        <w:t>The defense suite features three specialized heads operating in parallel, combined via a unified mathematical fusion engine: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AEAEA"/>
          </w:tcPr>
          <w:p>
            <w:r>
              <w:rPr>
                <w:b/>
              </w:rPr>
              <w:t>Defense Head</w:t>
            </w:r>
          </w:p>
        </w:tc>
        <w:tc>
          <w:tcPr>
            <w:tcW w:type="dxa" w:w="1987"/>
            <w:shd w:fill="EAEAEA"/>
          </w:tcPr>
          <w:p>
            <w:r>
              <w:rPr>
                <w:b/>
              </w:rPr>
              <w:t>Model Architecture</w:t>
            </w:r>
          </w:p>
        </w:tc>
        <w:tc>
          <w:tcPr>
            <w:tcW w:type="dxa" w:w="1987"/>
            <w:shd w:fill="EAEAEA"/>
          </w:tcPr>
          <w:p>
            <w:r>
              <w:rPr>
                <w:b/>
              </w:rPr>
              <w:t>Benchmark Accuracy</w:t>
            </w:r>
          </w:p>
        </w:tc>
        <w:tc>
          <w:tcPr>
            <w:tcW w:type="dxa" w:w="1987"/>
            <w:shd w:fill="EAEAEA"/>
          </w:tcPr>
          <w:p>
            <w:r>
              <w:rPr>
                <w:b/>
              </w:rPr>
              <w:t>Latency</w:t>
            </w:r>
          </w:p>
        </w:tc>
        <w:tc>
          <w:tcPr>
            <w:tcW w:type="dxa" w:w="1987"/>
            <w:shd w:fill="EAEAEA"/>
          </w:tcPr>
          <w:p>
            <w:r>
              <w:rPr>
                <w:b/>
              </w:rPr>
              <w:t>Enterprise Impact</w:t>
            </w:r>
          </w:p>
        </w:tc>
      </w:tr>
      <w:tr>
        <w:tc>
          <w:tcPr>
            <w:tcW w:type="dxa" w:w="1987"/>
          </w:tcPr>
          <w:p>
            <w:r>
              <w:rPr>
                <w:b/>
              </w:rPr>
              <w:t>Tabular Fraud Detector</w:t>
            </w:r>
          </w:p>
        </w:tc>
        <w:tc>
          <w:tcPr>
            <w:tcW w:type="dxa" w:w="1987"/>
          </w:tcPr>
          <w:p>
            <w:r>
              <w:t>ONNX-Quantized XGBoost + Isolation Forest</w:t>
            </w:r>
          </w:p>
        </w:tc>
        <w:tc>
          <w:tcPr>
            <w:tcW w:type="dxa" w:w="1987"/>
          </w:tcPr>
          <w:p>
            <w:r>
              <w:t>AUC-PR: 0.8031</w:t>
              <w:br/>
              <w:t>F1 Score: 0.8147</w:t>
              <w:br/>
              <w:t>FPR: 0.0035 (0.35%)</w:t>
            </w:r>
          </w:p>
        </w:tc>
        <w:tc>
          <w:tcPr>
            <w:tcW w:type="dxa" w:w="1987"/>
          </w:tcPr>
          <w:p>
            <w:r>
              <w:t>0.006 ms</w:t>
            </w:r>
          </w:p>
        </w:tc>
        <w:tc>
          <w:tcPr>
            <w:tcW w:type="dxa" w:w="1987"/>
          </w:tcPr>
          <w:p>
            <w:r>
              <w:t>sub-50ms SLA met (8,300x faster than threshold)</w:t>
            </w:r>
          </w:p>
        </w:tc>
      </w:tr>
      <w:tr>
        <w:tc>
          <w:tcPr>
            <w:tcW w:type="dxa" w:w="1987"/>
          </w:tcPr>
          <w:p>
            <w:r>
              <w:rPr>
                <w:b/>
              </w:rPr>
              <w:t>NLP Injection Detector</w:t>
            </w:r>
          </w:p>
        </w:tc>
        <w:tc>
          <w:tcPr>
            <w:tcW w:type="dxa" w:w="1987"/>
          </w:tcPr>
          <w:p>
            <w:r>
              <w:t>SentenceTransformers (all-MiniLM-L6-v2) + Platt Scaling</w:t>
            </w:r>
          </w:p>
        </w:tc>
        <w:tc>
          <w:tcPr>
            <w:tcW w:type="dxa" w:w="1987"/>
          </w:tcPr>
          <w:p>
            <w:r>
              <w:t>Semantic AUC-PR: 1.0000</w:t>
              <w:br/>
              <w:t>Paraphrased Lift: +9.19% vs TF-IDF</w:t>
              <w:br/>
              <w:t>Optimal Threshold: 0.2927</w:t>
            </w:r>
          </w:p>
        </w:tc>
        <w:tc>
          <w:tcPr>
            <w:tcW w:type="dxa" w:w="1987"/>
          </w:tcPr>
          <w:p>
            <w:r>
              <w:t>1.42 ms</w:t>
            </w:r>
          </w:p>
        </w:tc>
        <w:tc>
          <w:tcPr>
            <w:tcW w:type="dxa" w:w="1987"/>
          </w:tcPr>
          <w:p>
            <w:r>
              <w:t>Captures zero-day semantic shifts invisible to keywords</w:t>
            </w:r>
          </w:p>
        </w:tc>
      </w:tr>
      <w:tr>
        <w:tc>
          <w:tcPr>
            <w:tcW w:type="dxa" w:w="1987"/>
          </w:tcPr>
          <w:p>
            <w:r>
              <w:rPr>
                <w:b/>
              </w:rPr>
              <w:t>Mule Graph Classifier</w:t>
            </w:r>
          </w:p>
        </w:tc>
        <w:tc>
          <w:tcPr>
            <w:tcW w:type="dxa" w:w="1987"/>
          </w:tcPr>
          <w:p>
            <w:r>
              <w:t>HistGradientBoosting on NetworkX Graph Topologies</w:t>
            </w:r>
          </w:p>
        </w:tc>
        <w:tc>
          <w:tcPr>
            <w:tcW w:type="dxa" w:w="1987"/>
          </w:tcPr>
          <w:p>
            <w:r>
              <w:t>AUC-PR: 0.9630</w:t>
              <w:br/>
              <w:t>F1 Score: 0.9025</w:t>
              <w:br/>
              <w:t>Optimal Threshold: 0.50</w:t>
            </w:r>
          </w:p>
        </w:tc>
        <w:tc>
          <w:tcPr>
            <w:tcW w:type="dxa" w:w="1987"/>
          </w:tcPr>
          <w:p>
            <w:r>
              <w:t>0.082 ms</w:t>
            </w:r>
          </w:p>
        </w:tc>
        <w:tc>
          <w:tcPr>
            <w:tcW w:type="dxa" w:w="1987"/>
          </w:tcPr>
          <w:p>
            <w:r>
              <w:t>Identifies instant smurfing, crypto mixers, and chameleon rings</w:t>
            </w:r>
          </w:p>
        </w:tc>
      </w:tr>
      <w:tr>
        <w:tc>
          <w:tcPr>
            <w:tcW w:type="dxa" w:w="1987"/>
          </w:tcPr>
          <w:p>
            <w:r>
              <w:rPr>
                <w:b/>
              </w:rPr>
              <w:t>Financial Cost Optimizer</w:t>
            </w:r>
          </w:p>
        </w:tc>
        <w:tc>
          <w:tcPr>
            <w:tcW w:type="dxa" w:w="1987"/>
          </w:tcPr>
          <w:p>
            <w:r>
              <w:t>Asymmetric Loss Sweeper ($1.2*Amt FN vs $15.00 FP)</w:t>
            </w:r>
          </w:p>
        </w:tc>
        <w:tc>
          <w:tcPr>
            <w:tcW w:type="dxa" w:w="1987"/>
          </w:tcPr>
          <w:p>
            <w:r>
              <w:t>Optimal Tau: 0.36</w:t>
              <w:br/>
              <w:t>Min Financial Loss: $46,218.98</w:t>
              <w:br/>
              <w:t>Savings vs Default: $3,071.97</w:t>
            </w:r>
          </w:p>
        </w:tc>
        <w:tc>
          <w:tcPr>
            <w:tcW w:type="dxa" w:w="1987"/>
          </w:tcPr>
          <w:p>
            <w:r>
              <w:t>Pre-computed</w:t>
            </w:r>
          </w:p>
        </w:tc>
        <w:tc>
          <w:tcPr>
            <w:tcW w:type="dxa" w:w="1987"/>
          </w:tcPr>
          <w:p>
            <w:r>
              <w:t>Reduces chargeback losses while maintaining frictionless commerce</w:t>
            </w:r>
          </w:p>
        </w:tc>
      </w:tr>
      <w:tr>
        <w:tc>
          <w:tcPr>
            <w:tcW w:type="dxa" w:w="1987"/>
          </w:tcPr>
          <w:p>
            <w:r>
              <w:rPr>
                <w:b/>
              </w:rPr>
              <w:t>Cross-Vector Fusion Engine</w:t>
            </w:r>
          </w:p>
        </w:tc>
        <w:tc>
          <w:tcPr>
            <w:tcW w:type="dxa" w:w="1987"/>
          </w:tcPr>
          <w:p>
            <w:r>
              <w:t>Correlated Joint Risk Formula + Autonomous Kill Switch</w:t>
            </w:r>
          </w:p>
        </w:tc>
        <w:tc>
          <w:tcPr>
            <w:tcW w:type="dxa" w:w="1987"/>
          </w:tcPr>
          <w:p>
            <w:r>
              <w:t>Joint Score: 1 - Prod(1-Pi) + Delta</w:t>
              <w:br/>
              <w:t>Critical Action: Instant Kill Switch (&gt;=0.80)</w:t>
              <w:br/>
              <w:t>High Action: Step-Up 2FA (0.50-0.79)</w:t>
            </w:r>
          </w:p>
        </w:tc>
        <w:tc>
          <w:tcPr>
            <w:tcW w:type="dxa" w:w="1987"/>
          </w:tcPr>
          <w:p>
            <w:r>
              <w:t>15.5 - 32.9 ms</w:t>
            </w:r>
          </w:p>
        </w:tc>
        <w:tc>
          <w:tcPr>
            <w:tcW w:type="dxa" w:w="1987"/>
          </w:tcPr>
          <w:p>
            <w:r>
              <w:t>Autonomous real-time token revocation and wire interception</w:t>
            </w:r>
          </w:p>
        </w:tc>
      </w:tr>
    </w:tbl>
    <w:p>
      <w:r>
        <w:br/>
        <w:t>Explainability &amp; Compliance: Global and local TreeSHAP attribution computed across all 15 features (Top: failed_attempts_24h = 0.1281, nfc_tap_latency_ms = 0.1078, bnpl_bureau_inquiries = 0.1058), satisfying PCI-DSS and SR 11-7 model governance standards.</w:t>
      </w:r>
    </w:p>
    <w:p>
      <w:pPr>
        <w:pStyle w:val="Heading1"/>
      </w:pPr>
      <w:r>
        <w:rPr>
          <w:color w:val="EB001B"/>
        </w:rPr>
        <w:t>5. Pillar 4: Closed-Loop Adversarial Active Learning</w:t>
      </w:r>
    </w:p>
    <w:p>
      <w:r>
        <w:t>The cornerstone of SENTRIX AI is its self-healing feedback loop. Simulated attacks are not static test benchmarks—they become the dynamic training ground for active model retraining:</w:t>
      </w:r>
    </w:p>
    <w:p>
      <w:r>
        <w:t>1. Holdout Partitioning: Step 4 holdout data is split strictly 50/50 into a Mining Partition and an Unseen Final Evaluation Partition.</w:t>
      </w:r>
    </w:p>
    <w:p>
      <w:r>
        <w:t>2. Model-Aware Probing: A multi-strategy prober (7 tabular strategies including push provisioning spoofing, NFC delay compression, and BNPL masking; 5 graph strategies; 3 semantic prompt mutations) iteratively attacks Round 1 defenses to discover decision-boundary blind spots.</w:t>
      </w:r>
    </w:p>
    <w:p>
      <w:r>
        <w:t>3. Automated Failure Mining: Mined samples that successfully evaded Round 1 (34.7% tabular evasion rate, 57.9% graph evasion rate) are automatically labeled and merged into the training pool (+4,683 tabular, +711 graph records) without human annotation.</w:t>
      </w:r>
    </w:p>
    <w:p>
      <w:r>
        <w:t>4. Round 2 Active Retraining: Round 2 models are trained and exported to ONNX.</w:t>
      </w:r>
    </w:p>
    <w:p>
      <w:r>
        <w:t>5. Generalization &amp; Catastrophic Forgetting Audit: Evaluated on the unseen adversarial test set. Graph Mule Catch Rate jumped from 39.8% in Round 1 to 87.5% in Round 2 (+42 adversarial mule rings intercepted, AUC-PR increased from 0.7114 to 0.9404, delta = +0.2290). Baseline validation FPR halved from 0.97% to 0.45%, verifying ZERO catastrophic forgetting.</w:t>
      </w:r>
    </w:p>
    <w:p>
      <w:pPr>
        <w:pStyle w:val="Heading1"/>
      </w:pPr>
      <w:r>
        <w:rPr>
          <w:color w:val="EB001B"/>
        </w:rPr>
        <w:t>6. Conclusion &amp; Live Deployment Links</w:t>
      </w:r>
    </w:p>
    <w:p>
      <w:r>
        <w:t>SENTRIX AI proves that the most effective way to defeat GenAI-enabled financial fraud is to build a unified system that generates, stress-tests, and actively evolves its own defenses. All components—from synthetic generation to real-time ONNX inference and active retraining—are fully open-source, reproducible, and live in production:</w:t>
      </w:r>
    </w:p>
    <w:p>
      <w:r>
        <w:t>• Interactive Web Dashboard: https://sentrix-ai-seven.vercel.app/</w:t>
      </w:r>
    </w:p>
    <w:p>
      <w:r>
        <w:t>• Live FastAPI Backend &amp; API Docs: https://master-card.onrender.com/docs</w:t>
      </w:r>
    </w:p>
    <w:p>
      <w:r>
        <w:t>• GitHub Public Source Code: https://github.com/Abuzaid-01/master_card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