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rPr>
          <w:rFonts w:ascii="Times New Roman" w:hAnsi="Times New Roman" w:cs="Times New Roman"/>
        </w:rPr>
      </w:pPr>
      <w:r/>
      <w:bookmarkStart w:id="0" w:name="_GoBack"/>
      <w:r>
        <w:rPr>
          <w:rFonts w:ascii="Times New Roman" w:hAnsi="Times New Roman" w:cs="Times New Roman"/>
          <w:lang w:val="kk-KZ"/>
        </w:rPr>
        <w:t xml:space="preserve">Вопросы по ЕСЭДО</w:t>
      </w:r>
      <w:r>
        <w:rPr>
          <w:rFonts w:ascii="Times New Roman" w:hAnsi="Times New Roman" w:cs="Times New Roman"/>
        </w:rPr>
        <w:t xml:space="preserve"> #2</w:t>
      </w:r>
      <w:bookmarkEnd w:id="0"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36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7513"/>
        <w:gridCol w:w="2170"/>
      </w:tblGrid>
      <w:tr>
        <w:tblPrEx/>
        <w:trPr>
          <w:trHeight w:val="20"/>
        </w:trPr>
        <w:tc>
          <w:tcPr>
            <w:tcW w:w="84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lang w:val="ru-RU"/>
              </w:rPr>
            </w:r>
            <w:r>
              <w:rPr>
                <w:rFonts w:ascii="Times New Roman" w:hAnsi="Times New Roman" w:cs="Times New Roman"/>
                <w:b/>
                <w:lang w:val="ru-RU"/>
              </w:rPr>
            </w:r>
          </w:p>
        </w:tc>
        <w:tc>
          <w:tcPr>
            <w:tcW w:w="751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Вопрос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  <w:tc>
          <w:tcPr>
            <w:tcW w:w="217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Ответ</w:t>
            </w:r>
            <w:r>
              <w:rPr>
                <w:rFonts w:ascii="Times New Roman" w:hAnsi="Times New Roman" w:cs="Times New Roman"/>
                <w:b/>
                <w:lang w:val="kk-KZ"/>
              </w:rPr>
            </w:r>
            <w:r>
              <w:rPr>
                <w:rFonts w:ascii="Times New Roman" w:hAnsi="Times New Roman" w:cs="Times New Roman"/>
                <w:b/>
                <w:lang w:val="kk-KZ"/>
              </w:rPr>
            </w:r>
          </w:p>
        </w:tc>
      </w:tr>
      <w:tr>
        <w:tblPrEx/>
        <w:trPr>
          <w:trHeight w:val="20"/>
        </w:trPr>
        <w:tc>
          <w:tcPr>
            <w:tcW w:w="84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751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 Вопросы аналитику — развёрнуто, простым языком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Версия для обсуждения (06.09.2026). Краткая версия — `voprosy-analitiku.md`.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Контекст: реестр рисков и простановка статусов уже работают в тестовой среде;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боевая база подключена только на чтение.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---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 А. Блокирующие вопросы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А1. Можно ли отправлять по одной и той же записи риска несколько уведомлений?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**Как это устроено.** Аудитор выбирает записи рисков и формирует по ним уведомление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для госучреждения. ТЗ требует поставить «замок»: одна запись — максимум одно уведомление,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чтобы по одному и тому же платежу случайно не ушло два письма.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**В чём проблема.** Мы попробовали поставить этот «замок» и выяснили: в боевой базе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уже есть записи, которые входят в два уведомления одновременно. То есть либо так было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задумано (например, первое уведомление отозвали и отправили новое), либо это ошибки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прошлых лет. Пока не поймём, что это, «замок» поставить нельзя — база его не примет.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**Что просим решить.**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1. Повторное уведомление по той же записи — это нормальная ситуация или ошибка?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2. Если нормальная (после отзыва первого) — мы поставим «умный замок»: запрещаем два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  *действующих* уведомления, но разрешаем новое после отзыва старого.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3. Если ошибка — что делать с существующими дублями: чистить? кто решает, какое из двух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  уведомлений «настоящее»?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4. И смежный вопрос: когда аудитор формирует новое уведомление, записи из *отозванных*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  уведомлений можно включать заново или они «сгорели»?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**Почему срочно.** Без ответа не можем правильно построить отбор записей в следующей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фазе (формирование уведомлений) и не можем применить защиту на боевой базе.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17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А1. Нет нельзя но если по уникальному платежу ppo было направлено уведомление то у друг</w:t>
            </w:r>
            <w:r>
              <w:rPr>
                <w:rFonts w:ascii="Times New Roman" w:hAnsi="Times New Roman" w:cs="Times New Roman"/>
                <w:lang w:val="kk-KZ"/>
              </w:rPr>
              <w:t xml:space="preserve">их платежей должно тоже статус меняться </w:t>
              <w:br/>
              <w:t xml:space="preserve">к примеру есть платеж по нему сработал профиль риска 3,7 и 8 и если по одному из них направлено уведомление то и в других платежах должно поменяться статус а также комментарий должно автоматом проставиться в других 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</w:tr>
      <w:tr>
        <w:tblPrEx/>
        <w:trPr>
          <w:trHeight w:val="20"/>
        </w:trPr>
        <w:tc>
          <w:tcPr>
            <w:tcW w:w="84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751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А2. Правильно ли мы поняли правила смены статусов?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**Как это устроено.** Аудитор ведёт каждую запись риска по цепочке статусов: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«В работе» → «Уведомление направлено» → «Ожидание документов» → «Подтверждено» →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«Подлежит возмещению» → «Возмещено» (или ответвления «Не подтверждено», «Аудит»).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 ТЗ к некоторым переходам привязаны обязательные поля, но из таблицы не на 100% ясно,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к какому именно шагу относится каждое требование.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**Как мы реализовали (просим подтвердить или поправить):**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- ставишь **«Не подтверждено»** — обязан написать комментарий, почему риск не подтвердился;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- ставишь **«Подлежит возмещению»** — обязан указать сумму к возмещению, и она не может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 быть больше суммы самого платежа;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- ставишь **«Аудит»** — обязан выбрать конкретное аудиторское мероприятие из списка;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- ставишь **«Возмещено»** — обязан указать фактически возмещённую сумму; если она меньше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 суммы к возмещению, система не даёт закрыть запись — она остаётся «Подлежит возмещению».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**Что просим.** Ответ «да, всё верно» либо указание, какое правило работает иначе.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**Почему срочно.** Логика уже работает в тестовой среде — если трактовка другая,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дешевле поправить сейчас, чем после выхода на бой.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17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А2. Да все верно, но если ставят Аудит то ничего не происходит, а в остальном все верно 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</w:tr>
      <w:tr>
        <w:tblPrEx/>
        <w:trPr>
          <w:trHeight w:val="20"/>
        </w:trPr>
        <w:tc>
          <w:tcPr>
            <w:tcW w:w="84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751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А3. Разрешение на изменения в боевой базе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**Как сейчас.** Наше приложение подключено к боевой базе ОБМ в режиме «только чтение» —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мы физически не можем ничего испортить. Все новые функции обкатываются на тестовой копии.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**Что понадобится дальше.** Чтобы аудиторы реально ставили статусы и формировали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уведомления, в боевой базе нужно: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1. добавить несколько новых полей и таблицу «журнал изменения статусов» (кто, когда,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  какой статус поставил — сейчас эта история нигде не сохраняется и теряется);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2. пометить неиспользуемые статусы, чтобы они не попадали в выпадающие списки;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3. выдать приложению учётку с правом записи (строго в ограниченный набор полей).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**Что просим.** Согласовать сам факт таких изменений, назначить окно для применения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(скрипты готовы, применяются за минуты), обеспечить резервную копию перед этим.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17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А3. Да можно добавить такое поле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</w:tr>
      <w:tr>
        <w:tblPrEx/>
        <w:trPr>
          <w:trHeight w:val="20"/>
        </w:trPr>
        <w:tc>
          <w:tcPr>
            <w:tcW w:w="84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751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 Б. Для следующего этапа — формирование уведомлений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Б1. Где живёт текст уведомления?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Письмо госучреждению состоит из постоянного текста («Онлайн бюджетным мониторингом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идентифицированы высокие риски…») и подстановок (номера, суммы, адресат). По ТЗ текст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может править только администратор. Вопрос: где этот текст хранится сейчас — в какой-то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таблице базы, в файле, зашит в старую систему? Если нигде — заводим свою настройку,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но тогда нужен официально утверждённый текст (рус + каз) как исходник.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Б2. Образец PDF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Нужен утверждённый образец файла уведомления (сам файл, не описание): шапка с гербом,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водяной знак, подписи, таблица-приложение. Мы обязаны совпасть с ним по структуре,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порядку колонок и форматам — «на глаз» это не восстановить.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Б3. Казахские тексты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 базе у всех статусов пустое казахское название — казахская версия экрана работать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не будет. Нужны официальные переводы восьми действующих статусов и казахский текст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уведомления.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Б4. Подсказывать ли адресата?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Адресат письма выбирается вручную из справочника организаций ЕСЭДО для каждой группы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записей. Можно облегчить работу: если этому же госучреждению уже отправляли уведомление,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подставлять прошлого адресата автоматически (с возможностью поменять). Делаем такую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подсказку или всегда чистый ручной выбор?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Б5. Записи без кода госучреждения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Если у записи риска не заполнен код ГУ-отправителя, она не может попасть ни в одну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группу уведомления — ТЗ велит показать её отдельным списком с ошибкой. Вопрос: этим всё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и ограничивается, или существует процесс, где такие записи кто-то дозаполняет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(и тогда нужна кнопка/процедура)?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17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br/>
              <w:t xml:space="preserve">Б1. Нигде не хранится</w:t>
              <w:br/>
              <w:t xml:space="preserve">Пример уыедомления я скину</w:t>
              <w:br/>
              <w:br/>
              <w:br/>
              <w:br/>
              <w:br/>
              <w:br/>
              <w:br/>
              <w:br/>
              <w:t xml:space="preserve">Б2. Предоставлю</w:t>
              <w:br/>
              <w:br/>
              <w:br/>
              <w:br/>
              <w:br/>
              <w:br/>
              <w:br/>
              <w:br/>
              <w:t xml:space="preserve">Б3. Не нужны казахские тексты, в документе уведомлений они статичны</w:t>
              <w:br/>
              <w:br/>
              <w:br/>
              <w:br/>
              <w:t xml:space="preserve">Б4. Нет вручную выбирает</w:t>
              <w:br/>
              <w:br/>
              <w:br/>
              <w:br/>
              <w:br/>
              <w:br/>
              <w:br/>
              <w:br/>
              <w:br/>
              <w:t xml:space="preserve">Б5. Да этим и ограничивать 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</w:tr>
      <w:tr>
        <w:tblPrEx/>
        <w:trPr>
          <w:trHeight w:val="20"/>
        </w:trPr>
        <w:tc>
          <w:tcPr>
            <w:tcW w:w="84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751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 В. Для этапа согласования и отправки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В1. Кто и когда ставит электронную подпись?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По текущей версии ТЗ руководитель, согласуя уведомление, одновременно подписывает его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ЭЦП — отдельного шага «Подписание» нет. Подтвердите: это так? Или подписание — отдельное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действие после согласования? Или документ подписывается уже на стороне ЕСЭДО?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От ответа зависит число шагов в маршруте и момент, когда документ «замораживается».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kk-KZ"/>
              </w:rPr>
              <w:t xml:space="preserve">### В2. Как старая система помечает задачи согласования?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Маршрут (кто согласует, кто создаёт исходящее) хранится в общей таблице задач платформы.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Но справочники «тип задачи» и «статус задачи» в базе пустые — значения, судя по всему,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зашиты в саму платформу. Просим сказать (или показать, где посмотреть), какие коды типа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и статуса задача «Согласование» и задача «Создать исходящее» получают в нынешней системе —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чтобы наши записи выглядели для платформы «родными».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В3. Один регион — один департамент?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Номер уведомления строится как «код региона / год / порядковый номер», а счётчик номеров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ведётся у департамента. Если вдруг в одном регионе окажется два департамента, их счётчики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будут независимыми и номера начнут дублироваться. Подтвердите, что «один регион — один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департамент» — жёсткое правило.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В4. Сверим названия статусов уведомления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 ТЗ финальный статус уведомления называется «Исполнен». В базе фактический финальный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статус называется «Отправлен объекту аудита». Это одно и то же? И второе: статус «Отозван»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существует в базе (38 уведомлений) — считаем ли мы его официальным способом аннулировать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уведомление (связано с вопросом А1)?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В5. Откуда брать рабочие дни?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Контрольный срок ответа госучреждения — 10 **рабочих** дней, с учётом праздников РК.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Откуда брать производственный календарь: есть таблица в базе, внешний сервис, или нам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завести свой справочник, который администратор будет пополнять раз в год?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17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В1. Это действие идет одновременно, то есть при нажатии согласовать он должен подтвердить это действие подписанием </w:t>
              <w:br/>
              <w:br/>
              <w:br/>
              <w:br/>
              <w:br/>
              <w:t xml:space="preserve"> </w:t>
            </w:r>
            <w:r>
              <w:rPr>
                <w:rFonts w:ascii="Times New Roman" w:hAnsi="Times New Roman" w:cs="Times New Roman"/>
                <w:highlight w:val="yellow"/>
                <w:lang w:val="kk-KZ"/>
              </w:rPr>
              <w:t xml:space="preserve">В2. Дауытбек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br/>
              <w:t xml:space="preserve">В каждым процессе проставлено по своему, конкретно в исходящем Подписывает Руководитель и Канцелярия, все справочники находится в маршруте </w:t>
            </w:r>
            <w:r>
              <w:rPr>
                <w:rFonts w:ascii="Times New Roman" w:hAnsi="Times New Roman" w:cs="Times New Roman"/>
                <w:lang w:val="kk-KZ"/>
              </w:rPr>
              <w:t xml:space="preserve">task_approve_t в нем есть этапы согласовании </w:t>
            </w:r>
            <w:r>
              <w:rPr>
                <w:rFonts w:ascii="Times New Roman" w:hAnsi="Times New Roman" w:cs="Times New Roman"/>
                <w:lang w:val="kk-KZ"/>
              </w:rPr>
              <w:t xml:space="preserve">task_approve_t</w:t>
            </w:r>
            <w:r>
              <w:rPr>
                <w:rFonts w:ascii="Times New Roman" w:hAnsi="Times New Roman" w:cs="Times New Roman"/>
                <w:lang w:val="kk-KZ"/>
              </w:rPr>
              <w:t xml:space="preserve">_s там хранится все справочники</w:t>
            </w:r>
            <w:r>
              <w:rPr>
                <w:rFonts w:ascii="Times New Roman" w:hAnsi="Times New Roman" w:cs="Times New Roman"/>
                <w:lang w:val="kk-KZ"/>
              </w:rPr>
              <w:br/>
              <w:br/>
              <w:br/>
              <w:br/>
              <w:br/>
              <w:br/>
              <w:br/>
              <w:br/>
              <w:t xml:space="preserve">В3. Да один регион и один департамент </w:t>
              <w:br/>
              <w:br/>
              <w:br/>
              <w:br/>
              <w:br/>
              <w:br/>
              <w:br/>
              <w:br/>
              <w:br/>
              <w:t xml:space="preserve">В4. Да одно и тоже, да это оффициальный способ аннулировать</w:t>
              <w:br/>
              <w:br/>
              <w:br/>
              <w:br/>
              <w:br/>
              <w:br/>
              <w:t xml:space="preserve">В5. Это статичный текст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</w:tr>
      <w:tr>
        <w:tblPrEx/>
        <w:trPr>
          <w:trHeight w:val="20"/>
        </w:trPr>
        <w:tc>
          <w:tcPr>
            <w:tcW w:w="84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751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 Г. Для интеграции с ЕСЭДО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Г1. Доступы к тестовому контуру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Чтобы отправлять письма через ЕСЭДО, нужны: учётка канала ШЭП/ВШЭП (логин/пароль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отправителя), VPN до площадки и адреса **тестового** контура двух сервисов —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универсального сервиса обмена документами и сервиса загрузки файлов-вложений.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Кому подать заявку и сколько это обычно занимает?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Г2. Серверная электронная подпись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Исходящие подписываются сертификатом юридического лица, установленным на сервере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(так делает нынешняя система). Кто выдаёт этот сертификат, на какой сервер он ставится,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и какова процедура получения для нашего контура?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Г3. Коды организаций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 каждом сообщении ЕСЭДО фигурируют числовые коды: наш код отправителя и код получателя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(маршрут). Откуда их брать — из справочника ЕНСИ? И как сейчас обновляется справочник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организаций в базе ОБМ: кто и по какому расписанию запускает синхронизацию?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Г4. Как к нам приходят извещения?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После отправки письма ЕСЭДО присылает извещения: «доставлено», «зарегистрировано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(с номером!)», «исполнено». Номер регистрации для нас критичен — по нему система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автоматически проставляет статус «Уведомление направлено» всем записям письма.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Вопрос механики: ЕСЭДО само вызывает наш сервис (тогда нужно открыть для них адрес),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или мы должны периодически опрашивать канал?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### Г5. Кто отвечает за наполнение витрины?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Витрину рисков наполняет «робот публикации» — судя по всему, это процесс существующей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системы ОБМ. Подтвердите: он остаётся как есть, а наша зона — не мешать ему (мы не трогаем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расчётные поля)? Или наполнение тоже переносится к нам? И по какому признаку робот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определяет, какому департаменту принадлежит запись (по региону отправителя? по БИН?) —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от этого зависит, у какого аудитора запись появится в реестре.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17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Г1. В части “</w:t>
            </w:r>
            <w:r>
              <w:rPr>
                <w:rFonts w:ascii="Times New Roman" w:hAnsi="Times New Roman" w:cs="Times New Roman"/>
                <w:lang w:val="kk-KZ"/>
              </w:rPr>
              <w:t xml:space="preserve"> Доступы к тестовому контуру</w:t>
            </w:r>
            <w:r>
              <w:rPr>
                <w:rFonts w:ascii="Times New Roman" w:hAnsi="Times New Roman" w:cs="Times New Roman"/>
                <w:lang w:val="kk-KZ"/>
              </w:rPr>
              <w:t xml:space="preserve">”: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highlight w:val="none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Текущий момент отобран сервер через которое будет подключение к сервисам. Отрабатвается вопрос подключения.</w:t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highlight w:val="none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Г2. </w:t>
            </w:r>
            <w:r>
              <w:rPr>
                <w:rFonts w:ascii="Times New Roman" w:hAnsi="Times New Roman" w:cs="Times New Roman"/>
                <w:lang w:val="kk-KZ"/>
              </w:rPr>
              <w:t xml:space="preserve">В части “</w:t>
            </w:r>
            <w:r>
              <w:rPr>
                <w:rFonts w:ascii="Times New Roman" w:hAnsi="Times New Roman" w:cs="Times New Roman"/>
                <w:lang w:val="kk-KZ"/>
              </w:rPr>
              <w:t xml:space="preserve">Серверная электронная подпись”:</w:t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highlight w:val="none"/>
                <w:lang w:val="kk-KZ"/>
              </w:rPr>
            </w:pPr>
            <w:r>
              <w:rPr>
                <w:rFonts w:ascii="Times New Roman" w:hAnsi="Times New Roman" w:cs="Times New Roman"/>
                <w:highlight w:val="none"/>
                <w:lang w:val="kk-KZ"/>
              </w:rPr>
              <w:t xml:space="preserve">Запрос письмом , получение через Акт. Сертификат предоставляет ДЦГУ МФ РК (госслужащий).</w:t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highlight w:val="none"/>
                <w:lang w:val="kk-KZ"/>
              </w:rPr>
            </w:pPr>
            <w:r>
              <w:rPr>
                <w:rFonts w:ascii="Times New Roman" w:hAnsi="Times New Roman" w:cs="Times New Roman"/>
                <w:highlight w:val="none"/>
                <w:lang w:val="kk-KZ"/>
              </w:rPr>
              <w:t xml:space="preserve">Г3. Справочник называется its_cli оттуда берется всё , справочник пока не обновляется, сервис ещё не сделали, которые тянет с НСИ</w:t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highlight w:val="none"/>
                <w:lang w:val="kk-KZ"/>
              </w:rPr>
              <w:br/>
              <w:t xml:space="preserve">Всё верно такой уже сервис готов и работает вот ссылка </w:t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  <w:hyperlink r:id="rId8" w:tooltip="http://10.58.57.38/static/#/settings/soapdetails/19?lastpage=1" w:history="1">
              <w:r>
                <w:rPr>
                  <w:rStyle w:val="814"/>
                  <w:rFonts w:ascii="Times New Roman" w:hAnsi="Times New Roman" w:cs="Times New Roman"/>
                  <w:highlight w:val="none"/>
                  <w:lang w:val="kk-KZ"/>
                </w:rPr>
                <w:t xml:space="preserve">http://10.58.57.38/static/#/settings/soapdetails/19?lastpage=1</w:t>
              </w:r>
              <w:r>
                <w:rPr>
                  <w:rStyle w:val="814"/>
                  <w:rFonts w:ascii="Times New Roman" w:hAnsi="Times New Roman" w:cs="Times New Roman"/>
                  <w:highlight w:val="none"/>
                  <w:lang w:val="kk-KZ"/>
                </w:rPr>
              </w:r>
            </w:hyperlink>
            <w:r>
              <w:rPr>
                <w:rFonts w:ascii="Times New Roman" w:hAnsi="Times New Roman" w:cs="Times New Roman"/>
                <w:highlight w:val="none"/>
                <w:lang w:val="kk-KZ"/>
              </w:rPr>
              <w:t xml:space="preserve"> </w:t>
              <w:br/>
              <w:br/>
              <w:t xml:space="preserve">мы передали им такой </w:t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  <w:hyperlink r:id="rId9" w:tooltip="http://10.58.57.38/restapi/soap/esedo_in?wsdl" w:history="1">
              <w:r>
                <w:rPr>
                  <w:rStyle w:val="814"/>
                  <w:rFonts w:ascii="Times New Roman" w:hAnsi="Times New Roman" w:cs="Times New Roman"/>
                  <w:highlight w:val="none"/>
                  <w:lang w:val="kk-KZ"/>
                </w:rPr>
                <w:t xml:space="preserve">http://10.58.57.38/restapi/soap/esedo_in?wsdl</w:t>
              </w:r>
              <w:r>
                <w:rPr>
                  <w:rStyle w:val="814"/>
                  <w:rFonts w:ascii="Times New Roman" w:hAnsi="Times New Roman" w:cs="Times New Roman"/>
                  <w:highlight w:val="none"/>
                  <w:lang w:val="kk-KZ"/>
                </w:rPr>
              </w:r>
            </w:hyperlink>
            <w:r>
              <w:rPr>
                <w:rFonts w:ascii="Times New Roman" w:hAnsi="Times New Roman" w:cs="Times New Roman"/>
                <w:highlight w:val="none"/>
                <w:lang w:val="kk-KZ"/>
              </w:rPr>
              <w:t xml:space="preserve"> адрес они через это к нам стучатся </w:t>
              <w:br/>
              <w:br/>
              <w:br/>
              <w:t xml:space="preserve">Г5. Он остается как есть 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</w:tr>
      <w:tr>
        <w:tblPrEx/>
        <w:trPr>
          <w:trHeight w:val="20"/>
        </w:trPr>
        <w:tc>
          <w:tcPr>
            <w:tcW w:w="84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751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## Д. Мелкие вопросы (можно решить между делом)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**Д1.** В справочнике регионов есть устаревшая «Южно-Казахстанская область». Убираем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из выбора (помечаем удалённой) или оставляем для истории?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**Д2.** В таблице строк уведомления есть два одинаковых поля-ссылки на запись витрины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(историческое дублирование). Мы используем одно, второе предлагаем официально списать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 техдолг на удаление — не против?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**Д3.** В витрине есть колонка «исходящее письмо», в которой на самом деле хранится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HTML-ссылка интерфейса старой системы, а не номер. Мы берём связь с исходящим через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уведомление (надёжный путь) — подтвердите, что колонку-ссылку можно игнорировать.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**Д4.** Доступ аудитора к своему департаменту мы определяем по ИИН: находим человека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 базе ОБМ по ИИН и берём его департамент. Но в выборке ИИН заполнен только у ~14%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пользователей базы. У всех ли действующих аудиторов ДВГА он заполнен? Если нет —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у части сотрудников реестр окажется пустым, и надо заранее решить, кто дозаполнит.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17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highlight w:val="none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В части ”</w:t>
            </w:r>
            <w:r>
              <w:rPr>
                <w:rFonts w:ascii="Times New Roman" w:hAnsi="Times New Roman" w:cs="Times New Roman"/>
                <w:lang w:val="kk-KZ"/>
              </w:rPr>
              <w:t xml:space="preserve">Д1.</w:t>
            </w:r>
            <w:r>
              <w:rPr>
                <w:rFonts w:ascii="Times New Roman" w:hAnsi="Times New Roman" w:cs="Times New Roman"/>
                <w:lang w:val="kk-KZ"/>
              </w:rPr>
              <w:t xml:space="preserve">”:</w:t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  <w:r>
              <w:rPr>
                <w:rFonts w:ascii="Times New Roman" w:hAnsi="Times New Roman" w:cs="Times New Roman"/>
                <w:highlight w:val="none"/>
                <w:lang w:val="kk-KZ"/>
              </w:rPr>
            </w:r>
          </w:p>
          <w:p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highlight w:val="none"/>
                <w:lang w:val="kk-KZ"/>
              </w:rPr>
              <w:t xml:space="preserve">По многих справочниках пишем дату закрытия или статус “закрыт”.</w:t>
              <w:br/>
              <w:br/>
              <w:t xml:space="preserve">Д2. Нет удалять ничего не нужно </w:t>
              <w:br/>
              <w:br/>
              <w:br/>
              <w:br/>
              <w:t xml:space="preserve">Д3. Да через уведомление связь брать надо </w:t>
              <w:br/>
              <w:br/>
              <w:br/>
              <w:br/>
              <w:br/>
              <w:t xml:space="preserve">Д4. Да по ИИН</w:t>
            </w:r>
            <w:r>
              <w:rPr>
                <w:rFonts w:ascii="Times New Roman" w:hAnsi="Times New Roman" w:cs="Times New Roman"/>
                <w:lang w:val="kk-KZ"/>
              </w:rPr>
            </w:r>
            <w:r>
              <w:rPr>
                <w:rFonts w:ascii="Times New Roman" w:hAnsi="Times New Roman" w:cs="Times New Roman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</w:r>
      <w:r>
        <w:rPr>
          <w:rFonts w:ascii="Times New Roman" w:hAnsi="Times New Roman" w:cs="Times New Roman"/>
          <w:lang w:val="kk-KZ"/>
        </w:rPr>
      </w:r>
      <w:r>
        <w:rPr>
          <w:rFonts w:ascii="Times New Roman" w:hAnsi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</w:r>
      <w:r>
        <w:rPr>
          <w:rFonts w:ascii="Times New Roman" w:hAnsi="Times New Roman" w:cs="Times New Roman"/>
          <w:lang w:val="kk-KZ"/>
        </w:rPr>
      </w:r>
      <w:r>
        <w:rPr>
          <w:rFonts w:ascii="Times New Roman" w:hAnsi="Times New Roman" w:cs="Times New Roman"/>
          <w:lang w:val="kk-KZ"/>
        </w:rPr>
      </w:r>
    </w:p>
    <w:sectPr>
      <w:footnotePr/>
      <w:endnotePr/>
      <w:type w:val="nextPage"/>
      <w:pgSz w:w="12240" w:h="15840" w:orient="portrait"/>
      <w:pgMar w:top="567" w:right="567" w:bottom="567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2"/>
    <w:next w:val="832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3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2"/>
    <w:next w:val="832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3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2"/>
    <w:next w:val="832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3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2"/>
    <w:next w:val="832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3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2"/>
    <w:next w:val="832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3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2"/>
    <w:next w:val="832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3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2"/>
    <w:next w:val="832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3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2"/>
    <w:next w:val="832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3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2"/>
    <w:next w:val="832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3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2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2"/>
    <w:next w:val="832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3"/>
    <w:link w:val="675"/>
    <w:uiPriority w:val="10"/>
    <w:rPr>
      <w:sz w:val="48"/>
      <w:szCs w:val="48"/>
    </w:rPr>
  </w:style>
  <w:style w:type="paragraph" w:styleId="677">
    <w:name w:val="Subtitle"/>
    <w:basedOn w:val="832"/>
    <w:next w:val="832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3"/>
    <w:link w:val="677"/>
    <w:uiPriority w:val="11"/>
    <w:rPr>
      <w:sz w:val="24"/>
      <w:szCs w:val="24"/>
    </w:rPr>
  </w:style>
  <w:style w:type="paragraph" w:styleId="679">
    <w:name w:val="Quote"/>
    <w:basedOn w:val="832"/>
    <w:next w:val="832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2"/>
    <w:next w:val="832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2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3"/>
    <w:link w:val="683"/>
    <w:uiPriority w:val="99"/>
  </w:style>
  <w:style w:type="paragraph" w:styleId="685">
    <w:name w:val="Footer"/>
    <w:basedOn w:val="832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3"/>
    <w:link w:val="685"/>
    <w:uiPriority w:val="99"/>
  </w:style>
  <w:style w:type="paragraph" w:styleId="687">
    <w:name w:val="Caption"/>
    <w:basedOn w:val="832"/>
    <w:next w:val="832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3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table" w:styleId="836">
    <w:name w:val="Table Grid"/>
    <w:basedOn w:val="834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10.58.57.38/static/#/settings/soapdetails/19?lastpage=1" TargetMode="External"/><Relationship Id="rId9" Type="http://schemas.openxmlformats.org/officeDocument/2006/relationships/hyperlink" Target="http://10.58.57.38/restapi/soap/esedo_in?wsd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 ?сербаев</dc:creator>
  <cp:keywords/>
  <dc:description/>
  <cp:lastModifiedBy>Абдилдаев Дауытбек Кыдыралиевич</cp:lastModifiedBy>
  <cp:revision>11</cp:revision>
  <dcterms:created xsi:type="dcterms:W3CDTF">2026-09-07T05:43:00Z</dcterms:created>
  <dcterms:modified xsi:type="dcterms:W3CDTF">2026-09-07T12:35:33Z</dcterms:modified>
</cp:coreProperties>
</file>