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065" w:rsidRPr="00B20A48" w:rsidRDefault="008A7065" w:rsidP="008A7065">
      <w:pPr>
        <w:spacing w:line="360" w:lineRule="auto"/>
        <w:jc w:val="both"/>
        <w:rPr>
          <w:b/>
          <w:i/>
        </w:rPr>
      </w:pPr>
      <w:r w:rsidRPr="00B20A48">
        <w:t xml:space="preserve">  </w:t>
      </w:r>
      <w:r w:rsidRPr="00B20A48">
        <w:rPr>
          <w:u w:val="single"/>
        </w:rPr>
        <w:t xml:space="preserve"> </w:t>
      </w:r>
      <w:r w:rsidRPr="00B20A48">
        <w:rPr>
          <w:b/>
          <w:u w:val="single"/>
        </w:rPr>
        <w:t>2.2.</w:t>
      </w:r>
      <w:r w:rsidRPr="00B20A48">
        <w:rPr>
          <w:u w:val="single"/>
        </w:rPr>
        <w:t xml:space="preserve"> </w:t>
      </w:r>
      <w:r w:rsidRPr="00B20A48">
        <w:rPr>
          <w:b/>
          <w:u w:val="single"/>
        </w:rPr>
        <w:t>Suspension</w:t>
      </w:r>
    </w:p>
    <w:p w:rsidR="008A7065" w:rsidRPr="00B20A48" w:rsidRDefault="008A7065" w:rsidP="008A7065">
      <w:pPr>
        <w:spacing w:line="360" w:lineRule="auto"/>
        <w:jc w:val="both"/>
      </w:pPr>
      <w:r w:rsidRPr="00B20A48">
        <w:t>Suspension is a situation where the employee will not be required to provide service to the employer and the employer will not be obligated to pay wages and other benefits to the employee. Nonetheless, their contractual engagement remains intact. Therefore, suspension is a grey area in the sense that it has attributes of termination on the one hand and of employment relation on the other hand.</w:t>
      </w:r>
    </w:p>
    <w:p w:rsidR="008A7065" w:rsidRPr="00B20A48" w:rsidRDefault="008A7065" w:rsidP="008A7065">
      <w:pPr>
        <w:spacing w:line="360" w:lineRule="auto"/>
        <w:jc w:val="both"/>
      </w:pPr>
      <w:r w:rsidRPr="00B20A48">
        <w:t xml:space="preserve"> A contract of employment may be suspended for a variety of reasons. Some of the grounds are: </w:t>
      </w:r>
    </w:p>
    <w:p w:rsidR="008A7065" w:rsidRPr="00B20A48" w:rsidRDefault="008A7065" w:rsidP="008A7065">
      <w:pPr>
        <w:spacing w:line="360" w:lineRule="auto"/>
        <w:jc w:val="both"/>
      </w:pPr>
      <w:r w:rsidRPr="00B20A48">
        <w:t xml:space="preserve">        -Voluntary arrangement of the parties;</w:t>
      </w:r>
    </w:p>
    <w:p w:rsidR="008A7065" w:rsidRPr="00B20A48" w:rsidRDefault="008A7065" w:rsidP="008A7065">
      <w:pPr>
        <w:spacing w:line="360" w:lineRule="auto"/>
        <w:jc w:val="both"/>
      </w:pPr>
      <w:r w:rsidRPr="00B20A48">
        <w:t xml:space="preserve">        -Societal interest;</w:t>
      </w:r>
    </w:p>
    <w:p w:rsidR="008A7065" w:rsidRPr="00B20A48" w:rsidRDefault="008A7065" w:rsidP="008A7065">
      <w:pPr>
        <w:spacing w:line="360" w:lineRule="auto"/>
        <w:jc w:val="both"/>
      </w:pPr>
      <w:r w:rsidRPr="00B20A48">
        <w:t xml:space="preserve">       -Due to reasons beyond the control of the employer;</w:t>
      </w:r>
    </w:p>
    <w:p w:rsidR="008A7065" w:rsidRPr="00B20A48" w:rsidRDefault="008A7065" w:rsidP="008A7065">
      <w:pPr>
        <w:spacing w:line="360" w:lineRule="auto"/>
        <w:jc w:val="both"/>
      </w:pPr>
      <w:r w:rsidRPr="00B20A48">
        <w:t xml:space="preserve">      -Due to disciplinary reasons.</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2.2.1. Voluntary arrangement</w:t>
      </w:r>
    </w:p>
    <w:p w:rsidR="008A7065" w:rsidRPr="00B20A48" w:rsidRDefault="008A7065" w:rsidP="008A7065">
      <w:pPr>
        <w:spacing w:line="360" w:lineRule="auto"/>
        <w:jc w:val="both"/>
      </w:pPr>
      <w:r w:rsidRPr="00B20A48">
        <w:t>The employer and the employee may agree to suspend their contractual relation for sometime. For example, the employee may get an offer for a better pay for six months of employment. In such case she may request her employer to grant her leave without pay for six months. If the employer accepted the request, this is a typical case of suspension. Within the agreed six months, the employer will not pay the wages and other benefits to the employee and the employee will not be required to render service for her employer. At the expiry of the six months period, however, the parties will be reinstated to their previous employment relation.</w:t>
      </w:r>
      <w:r w:rsidRPr="00B20A48">
        <w:rPr>
          <w:rStyle w:val="FootnoteReference"/>
          <w:rFonts w:eastAsiaTheme="majorEastAsia"/>
        </w:rPr>
        <w:footnoteReference w:id="2"/>
      </w:r>
    </w:p>
    <w:p w:rsidR="008A7065" w:rsidRPr="00B20A48" w:rsidRDefault="008A7065" w:rsidP="008A7065">
      <w:pPr>
        <w:spacing w:line="360" w:lineRule="auto"/>
        <w:jc w:val="both"/>
      </w:pPr>
    </w:p>
    <w:p w:rsidR="008A7065" w:rsidRPr="00B20A48" w:rsidRDefault="008A7065" w:rsidP="008A7065">
      <w:pPr>
        <w:spacing w:line="360" w:lineRule="auto"/>
        <w:jc w:val="both"/>
        <w:rPr>
          <w:u w:val="single"/>
        </w:rPr>
      </w:pPr>
      <w:r w:rsidRPr="00B20A48">
        <w:rPr>
          <w:b/>
          <w:u w:val="single"/>
        </w:rPr>
        <w:t>2.2. 2 Suspension for the benefit of society</w:t>
      </w:r>
    </w:p>
    <w:p w:rsidR="008A7065" w:rsidRPr="00B20A48" w:rsidRDefault="008A7065" w:rsidP="008A7065">
      <w:pPr>
        <w:spacing w:line="360" w:lineRule="auto"/>
        <w:jc w:val="both"/>
      </w:pPr>
      <w:r w:rsidRPr="00B20A48">
        <w:t>An employee may be elected to hold office at higher level trade union structure which may demand full time engagement. The other possibility is he may hold office at kebele or woreda level or he may be elected as parliamentarian. It is also possible that the employee may be required to discharge national service (be it military service or otherwise)</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 xml:space="preserve">In such cases what will be the fate of his contract of employment? Should it be terminated? Should he be still considered as an employee and collect wage from the employer even if he is not rendering service to him? It seems unfair to terminate the contract of employment of this </w:t>
      </w:r>
      <w:r w:rsidRPr="00B20A48">
        <w:lastRenderedPageBreak/>
        <w:t>individual because he is rendering service which is important to society at large and should not be sanctioned for that. Individuals should be encouraged to serve society. This can be achieved by ensuring employment security to such individuals.</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Should the employer then be required to pay him wages while the employee is not rendering service to him? This is again unfair to the employer because as the service is being rendered to society at large it should be society which should incur such costs and not the employer individually.</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 xml:space="preserve">   To strike the balance between these two concerns, the Labour Proclamation has come up with this solution. This solution is suspending the contract of employment until such time the employee accomplishes his societal service after which he will regain his employment.</w:t>
      </w:r>
      <w:r w:rsidRPr="00B20A48">
        <w:rPr>
          <w:rStyle w:val="FootnoteReference"/>
          <w:rFonts w:eastAsiaTheme="majorEastAsia"/>
        </w:rPr>
        <w:footnoteReference w:id="3"/>
      </w:r>
      <w:r w:rsidRPr="00B20A48">
        <w:t xml:space="preserve"> </w:t>
      </w:r>
    </w:p>
    <w:p w:rsidR="008A7065" w:rsidRPr="00B20A48" w:rsidRDefault="008A7065" w:rsidP="008A7065">
      <w:pPr>
        <w:spacing w:line="360" w:lineRule="auto"/>
        <w:jc w:val="both"/>
      </w:pPr>
    </w:p>
    <w:p w:rsidR="008A7065" w:rsidRPr="00B20A48" w:rsidRDefault="008A7065" w:rsidP="008A7065">
      <w:pPr>
        <w:spacing w:line="360" w:lineRule="auto"/>
        <w:jc w:val="both"/>
      </w:pPr>
    </w:p>
    <w:p w:rsidR="008A7065" w:rsidRPr="00B20A48" w:rsidRDefault="008A7065" w:rsidP="008A7065">
      <w:pPr>
        <w:spacing w:line="360" w:lineRule="auto"/>
        <w:jc w:val="both"/>
        <w:rPr>
          <w:u w:val="single"/>
        </w:rPr>
      </w:pPr>
      <w:r w:rsidRPr="00B20A48">
        <w:rPr>
          <w:b/>
          <w:u w:val="single"/>
        </w:rPr>
        <w:t>2.2.3 Suspension due to reasons beyond the control of the employer</w:t>
      </w:r>
    </w:p>
    <w:p w:rsidR="008A7065" w:rsidRPr="00B20A48" w:rsidRDefault="008A7065" w:rsidP="008A7065">
      <w:pPr>
        <w:spacing w:line="360" w:lineRule="auto"/>
        <w:jc w:val="both"/>
      </w:pPr>
      <w:r w:rsidRPr="00B20A48">
        <w:t>At times situations which will have an impact of temporary cassation of activities of the undertaking may occur. Most of these situations are economic reasons though there may also other reasons.  For example, the Wonji sugar factory may be compelled to temporary suspend its operations fully or partially due to the over flow of the Awash River. This may be one incident where suspension may result from non-economic reasons. Financial problem may also be a ground for temporary cassation of operations.</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Suspension under these grounds is not within the sole discretion of the employer. It is subject to revision by the Ministry of Labour and Social Affairs or Regional Labour and Social Bureaus. In order for the Ministry to determine whether the stated reason is adequate to suspend operation or not, the employer should notify the Ministry within three days of the occurrence of the alleged ground of suspension.</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 xml:space="preserve">The Ministry is expected to determine whether or not there is sufficient ground for suspension or not within three working days after the receipt of the report. If the Ministry determines there is </w:t>
      </w:r>
      <w:r w:rsidRPr="00B20A48">
        <w:lastRenderedPageBreak/>
        <w:t>sufficient ground for suspension, it will approve it and fix the duration for it. But the duration shall not exceed ninety days.</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If the Ministry determines that there is no adequate reason to withhold operation, it will order the resumption of the activities and payment of wage for the days on which the employees were suspended. The employer may appeal within five working days against this decision to the appellate court of the Region where it runs its business.</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If the employer fails to inform the Ministry of the occurrence of a ground for suspension, it will not have valid ground to suspend its operation. Furthermore it may be liable to fine for failure to notify.</w:t>
      </w:r>
      <w:r w:rsidRPr="00B20A48">
        <w:rPr>
          <w:rStyle w:val="FootnoteReference"/>
          <w:rFonts w:eastAsiaTheme="majorEastAsia"/>
        </w:rPr>
        <w:footnoteReference w:id="4"/>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2.2.4. Disciplinary Suspension</w:t>
      </w:r>
    </w:p>
    <w:p w:rsidR="008A7065" w:rsidRPr="00B20A48" w:rsidRDefault="008A7065" w:rsidP="008A7065">
      <w:pPr>
        <w:spacing w:line="360" w:lineRule="auto"/>
        <w:jc w:val="both"/>
      </w:pPr>
      <w:r w:rsidRPr="00B20A48">
        <w:t>One of the prerogatives of an employer is to take disciplinary action against an employee. The employee on its part is required to render faithful service to the employer. Failure to observe such faithfulness may subject the employee to disciplinary action. But prior to taking action, the employer is expected to undertake the necessary investigation into alleged misconduct of the employee. Until such time the investigation is completed, it may be appropriate to suspend the employee so that investigation could go smoothly.</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With this purpose in view, the Labour Proclamation delegated collective agreements to deal with the matter. Nevertheless, disciplinary suspension is not to exceed one month in duration within which time the employer should complete its investigation and arrive at a decision. Thus, as the Labour Proclamation now stands, disciplinary suspension is not within the unilateral power of the employer, it is rather to be determined by the employer and the trade union (i.e. collective agreement). Besides, its length is not even left to collective agreement; it is rather fixed by law and cannot exceed one month.</w:t>
      </w:r>
      <w:r w:rsidRPr="00B20A48">
        <w:rPr>
          <w:rStyle w:val="FootnoteReference"/>
          <w:rFonts w:eastAsiaTheme="majorEastAsia"/>
        </w:rPr>
        <w:footnoteReference w:id="5"/>
      </w:r>
    </w:p>
    <w:p w:rsidR="008A7065" w:rsidRPr="00B20A48" w:rsidRDefault="008A7065" w:rsidP="008A7065">
      <w:pPr>
        <w:spacing w:line="360" w:lineRule="auto"/>
        <w:jc w:val="both"/>
      </w:pPr>
    </w:p>
    <w:p w:rsidR="008A7065" w:rsidRPr="00B20A48" w:rsidRDefault="008A7065" w:rsidP="008A7065">
      <w:pPr>
        <w:spacing w:line="360" w:lineRule="auto"/>
        <w:jc w:val="both"/>
        <w:rPr>
          <w:b/>
          <w:i/>
          <w:u w:val="single"/>
        </w:rPr>
      </w:pPr>
      <w:r w:rsidRPr="00B20A48">
        <w:rPr>
          <w:b/>
          <w:i/>
          <w:u w:val="single"/>
        </w:rPr>
        <w:t xml:space="preserve">Note &amp; Exercises. </w:t>
      </w:r>
    </w:p>
    <w:p w:rsidR="008A7065" w:rsidRPr="00B20A48" w:rsidRDefault="008A7065" w:rsidP="008A7065">
      <w:pPr>
        <w:spacing w:line="360" w:lineRule="auto"/>
        <w:jc w:val="both"/>
        <w:rPr>
          <w:b/>
          <w:i/>
        </w:rPr>
      </w:pPr>
      <w:r w:rsidRPr="00B20A48">
        <w:rPr>
          <w:b/>
          <w:i/>
        </w:rPr>
        <w:lastRenderedPageBreak/>
        <w:t>* Under the Civil Service law, disciplinary suspension is within the sole prerogative of the employer. Its length could also be as long as two months.(compare Art.27(4) Labour Proclamation and Art.70 of Civil Service Proclamation) Why do you think the legislature decided to adopt double standard in this regard? Is it justified? Why? Why not?</w:t>
      </w:r>
    </w:p>
    <w:p w:rsidR="008A7065" w:rsidRPr="00B20A48" w:rsidRDefault="008A7065" w:rsidP="008A7065">
      <w:pPr>
        <w:spacing w:line="360" w:lineRule="auto"/>
        <w:jc w:val="both"/>
        <w:rPr>
          <w:b/>
          <w:i/>
        </w:rPr>
      </w:pPr>
    </w:p>
    <w:p w:rsidR="008A7065" w:rsidRPr="00B20A48" w:rsidRDefault="008A7065" w:rsidP="008A7065">
      <w:pPr>
        <w:spacing w:line="360" w:lineRule="auto"/>
        <w:jc w:val="both"/>
        <w:rPr>
          <w:b/>
          <w:i/>
        </w:rPr>
      </w:pPr>
      <w:r w:rsidRPr="00B20A48">
        <w:rPr>
          <w:b/>
          <w:i/>
        </w:rPr>
        <w:t xml:space="preserve">* More often than not, misbehaviors which may subject an employee to disciplinary investigation could at the same time be reasons for filing a criminal charge against the same. Let us assume that parallel actions (i.e disciplinary &amp; criminal proceedings) were being commenced against the employee. Let us further assume that the disciplinary proceedings resulted in positive determination that the employee indeed committed that alleged misconduct and summarily dismissed due to it. Let us also assume that the criminal proceedings failed to convict the accused for lack of adequate evidence and hence the accused has been acquitted. What effect will the acquittal have, if any, on the disciplinary action? I mean, should the employee be reinstated now that his/her innocence has been judicially determined? Why/ why not? </w:t>
      </w:r>
    </w:p>
    <w:p w:rsidR="008A7065" w:rsidRPr="00B20A48" w:rsidRDefault="008A7065" w:rsidP="008A7065">
      <w:pPr>
        <w:spacing w:line="360" w:lineRule="auto"/>
        <w:jc w:val="both"/>
      </w:pPr>
    </w:p>
    <w:p w:rsidR="008A7065" w:rsidRPr="00B20A48" w:rsidRDefault="008A7065" w:rsidP="008A7065">
      <w:pPr>
        <w:spacing w:line="360" w:lineRule="auto"/>
        <w:jc w:val="both"/>
        <w:rPr>
          <w:u w:val="single"/>
        </w:rPr>
      </w:pPr>
      <w:r w:rsidRPr="00B20A48">
        <w:rPr>
          <w:b/>
          <w:u w:val="single"/>
        </w:rPr>
        <w:t>2.2.5. Consequences of expiry of period of suspension</w:t>
      </w:r>
    </w:p>
    <w:p w:rsidR="008A7065" w:rsidRPr="00B20A48" w:rsidRDefault="008A7065" w:rsidP="008A7065">
      <w:pPr>
        <w:spacing w:line="360" w:lineRule="auto"/>
        <w:jc w:val="both"/>
      </w:pPr>
      <w:r w:rsidRPr="00B20A48">
        <w:t>Normally as soon as the duration for suspension expires, the employee will be reinstated to his/her previous employment. But there may also be circumstances where suspension may be transformed into termination. For instance, in case of disciplinary suspension (e.g. if the outcome of the investigation shows a serious misconduct attributed to the employee), the contract of the suspended employee may be terminated. In case of suspension for reasons beyond the control of the employer, particularly suspension due to economic reasons,(e.g. if the undertaking cannot resume operation within ninety days) suspension will be transformed into termination.</w:t>
      </w:r>
    </w:p>
    <w:p w:rsidR="008A7065" w:rsidRPr="00B20A48" w:rsidRDefault="008A7065" w:rsidP="008A7065">
      <w:pPr>
        <w:spacing w:line="360" w:lineRule="auto"/>
        <w:jc w:val="both"/>
      </w:pPr>
      <w:r w:rsidRPr="00B20A48">
        <w:t xml:space="preserve">            -------------------------------------=-----------------------------</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2.3. Termination</w:t>
      </w:r>
    </w:p>
    <w:p w:rsidR="008A7065" w:rsidRPr="00B20A48" w:rsidRDefault="008A7065" w:rsidP="008A7065">
      <w:pPr>
        <w:spacing w:line="360" w:lineRule="auto"/>
        <w:jc w:val="both"/>
      </w:pPr>
      <w:r w:rsidRPr="00B20A48">
        <w:t>Termination of a contract of employment and its effects are important issues to be discussed in this course. Both the LP and the FCSP spelt out grounds of termination in their respective regimes of employment.</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lastRenderedPageBreak/>
        <w:t>Under the LP grounds of termination could be categorized into the following:</w:t>
      </w:r>
    </w:p>
    <w:p w:rsidR="008A7065" w:rsidRPr="00B20A48" w:rsidRDefault="008A7065" w:rsidP="008A7065">
      <w:pPr>
        <w:spacing w:line="360" w:lineRule="auto"/>
        <w:jc w:val="both"/>
      </w:pPr>
      <w:r w:rsidRPr="00B20A48">
        <w:t xml:space="preserve">    -termination by law (Art.24)</w:t>
      </w:r>
    </w:p>
    <w:p w:rsidR="008A7065" w:rsidRPr="00B20A48" w:rsidRDefault="008A7065" w:rsidP="008A7065">
      <w:pPr>
        <w:spacing w:line="360" w:lineRule="auto"/>
        <w:jc w:val="both"/>
      </w:pPr>
      <w:r w:rsidRPr="00B20A48">
        <w:t xml:space="preserve">   -termination by the agreement of the parties (Art.25)</w:t>
      </w:r>
    </w:p>
    <w:p w:rsidR="008A7065" w:rsidRPr="00B20A48" w:rsidRDefault="008A7065" w:rsidP="008A7065">
      <w:pPr>
        <w:spacing w:line="360" w:lineRule="auto"/>
        <w:jc w:val="both"/>
      </w:pPr>
      <w:r w:rsidRPr="00B20A48">
        <w:t xml:space="preserve">   -termination at the initiation of the employer-(dismissal)-(Arts.27, 28, 29 &amp; 30)</w:t>
      </w:r>
    </w:p>
    <w:p w:rsidR="008A7065" w:rsidRPr="00B20A48" w:rsidRDefault="008A7065" w:rsidP="008A7065">
      <w:pPr>
        <w:spacing w:line="360" w:lineRule="auto"/>
        <w:jc w:val="both"/>
      </w:pPr>
      <w:r w:rsidRPr="00B20A48">
        <w:t xml:space="preserve">            - With out notice or summary dismissal (Art.27)</w:t>
      </w:r>
    </w:p>
    <w:p w:rsidR="008A7065" w:rsidRPr="00B20A48" w:rsidRDefault="008A7065" w:rsidP="008A7065">
      <w:pPr>
        <w:spacing w:line="360" w:lineRule="auto"/>
        <w:jc w:val="both"/>
      </w:pPr>
      <w:r w:rsidRPr="00B20A48">
        <w:t xml:space="preserve">            - With notice or ordinary dismissal (Art.28)</w:t>
      </w:r>
    </w:p>
    <w:p w:rsidR="008A7065" w:rsidRPr="00B20A48" w:rsidRDefault="008A7065" w:rsidP="008A7065">
      <w:pPr>
        <w:spacing w:line="360" w:lineRule="auto"/>
        <w:jc w:val="both"/>
      </w:pPr>
      <w:r w:rsidRPr="00B20A48">
        <w:t xml:space="preserve">            -Group termination or lay off (Arts.29&amp;30)</w:t>
      </w:r>
    </w:p>
    <w:p w:rsidR="008A7065" w:rsidRPr="00B20A48" w:rsidRDefault="008A7065" w:rsidP="008A7065">
      <w:pPr>
        <w:spacing w:line="360" w:lineRule="auto"/>
        <w:jc w:val="both"/>
      </w:pPr>
      <w:r w:rsidRPr="00B20A48">
        <w:t xml:space="preserve">  -termination at the initiation of the employee-(resignation)-(Arts.31, 32)</w:t>
      </w:r>
    </w:p>
    <w:p w:rsidR="008A7065" w:rsidRPr="00B20A48" w:rsidRDefault="008A7065" w:rsidP="008A7065">
      <w:pPr>
        <w:spacing w:line="360" w:lineRule="auto"/>
        <w:jc w:val="both"/>
      </w:pPr>
      <w:r w:rsidRPr="00B20A48">
        <w:t xml:space="preserve">            -Resignation with notice/ordinary resignation (Art.31)</w:t>
      </w:r>
    </w:p>
    <w:p w:rsidR="008A7065" w:rsidRPr="00B20A48" w:rsidRDefault="008A7065" w:rsidP="008A7065">
      <w:pPr>
        <w:spacing w:line="360" w:lineRule="auto"/>
        <w:jc w:val="both"/>
      </w:pPr>
      <w:r w:rsidRPr="00B20A48">
        <w:t xml:space="preserve">            -Resignation without notice (constructive dismissal) (Art.32)</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Under the FCSP, the following are the lawful grounds for termination:</w:t>
      </w:r>
    </w:p>
    <w:p w:rsidR="008A7065" w:rsidRPr="00B20A48" w:rsidRDefault="008A7065" w:rsidP="008A7065">
      <w:pPr>
        <w:spacing w:line="360" w:lineRule="auto"/>
        <w:jc w:val="both"/>
      </w:pPr>
      <w:r w:rsidRPr="00B20A48">
        <w:t xml:space="preserve">  -resignation (Art.78)</w:t>
      </w:r>
    </w:p>
    <w:p w:rsidR="008A7065" w:rsidRPr="00B20A48" w:rsidRDefault="008A7065" w:rsidP="008A7065">
      <w:pPr>
        <w:spacing w:line="360" w:lineRule="auto"/>
        <w:jc w:val="both"/>
      </w:pPr>
      <w:r w:rsidRPr="00B20A48">
        <w:t xml:space="preserve">  -termination due to illness (Art.79)</w:t>
      </w:r>
    </w:p>
    <w:p w:rsidR="008A7065" w:rsidRPr="00B20A48" w:rsidRDefault="008A7065" w:rsidP="008A7065">
      <w:pPr>
        <w:spacing w:line="360" w:lineRule="auto"/>
        <w:jc w:val="both"/>
      </w:pPr>
      <w:r w:rsidRPr="00B20A48">
        <w:t xml:space="preserve"> -termination on grounds of inefficiency (Art.80)</w:t>
      </w:r>
    </w:p>
    <w:p w:rsidR="008A7065" w:rsidRPr="00B20A48" w:rsidRDefault="008A7065" w:rsidP="008A7065">
      <w:pPr>
        <w:spacing w:line="360" w:lineRule="auto"/>
        <w:jc w:val="both"/>
      </w:pPr>
      <w:r w:rsidRPr="00B20A48">
        <w:t>-termination due to force majeure (Art.81)</w:t>
      </w:r>
    </w:p>
    <w:p w:rsidR="008A7065" w:rsidRPr="00B20A48" w:rsidRDefault="008A7065" w:rsidP="008A7065">
      <w:pPr>
        <w:spacing w:line="360" w:lineRule="auto"/>
        <w:jc w:val="both"/>
      </w:pPr>
      <w:r w:rsidRPr="00B20A48">
        <w:t>-nullification of employment (Art.82)</w:t>
      </w:r>
    </w:p>
    <w:p w:rsidR="008A7065" w:rsidRPr="00B20A48" w:rsidRDefault="008A7065" w:rsidP="008A7065">
      <w:pPr>
        <w:spacing w:line="360" w:lineRule="auto"/>
        <w:jc w:val="both"/>
      </w:pPr>
      <w:r w:rsidRPr="00B20A48">
        <w:t>-retrenchment (Art.83)</w:t>
      </w:r>
    </w:p>
    <w:p w:rsidR="008A7065" w:rsidRPr="00B20A48" w:rsidRDefault="008A7065" w:rsidP="008A7065">
      <w:pPr>
        <w:spacing w:line="360" w:lineRule="auto"/>
        <w:jc w:val="both"/>
      </w:pPr>
      <w:r w:rsidRPr="00B20A48">
        <w:t>-termination on disciplinary grounds (Art.84)</w:t>
      </w:r>
    </w:p>
    <w:p w:rsidR="008A7065" w:rsidRPr="00B20A48" w:rsidRDefault="008A7065" w:rsidP="008A7065">
      <w:pPr>
        <w:spacing w:line="360" w:lineRule="auto"/>
        <w:jc w:val="both"/>
      </w:pPr>
      <w:r w:rsidRPr="00B20A48">
        <w:t>-retirement (Art.85)</w:t>
      </w:r>
    </w:p>
    <w:p w:rsidR="008A7065" w:rsidRPr="00B20A48" w:rsidRDefault="008A7065" w:rsidP="008A7065">
      <w:pPr>
        <w:spacing w:line="360" w:lineRule="auto"/>
        <w:jc w:val="both"/>
      </w:pPr>
      <w:r w:rsidRPr="00B20A48">
        <w:t>-termination on the ground of death (Art.86)</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2.4. Effects of Lawful Termination</w:t>
      </w:r>
    </w:p>
    <w:p w:rsidR="008A7065" w:rsidRPr="00B20A48" w:rsidRDefault="008A7065" w:rsidP="008A7065">
      <w:pPr>
        <w:spacing w:line="360" w:lineRule="auto"/>
        <w:jc w:val="both"/>
      </w:pPr>
      <w:r w:rsidRPr="00B20A48">
        <w:t>Once a contract of employment is terminated in accordance with the stipulation of the law and the parties are separated for good, there will be some consequences which will follow the termination. Most of the consequences are attached with the ground for termination while few others are available to all terminations. These are the following:</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2.4.1. Certificate of Service</w:t>
      </w:r>
    </w:p>
    <w:p w:rsidR="008A7065" w:rsidRPr="00B20A48" w:rsidRDefault="008A7065" w:rsidP="008A7065">
      <w:pPr>
        <w:spacing w:line="360" w:lineRule="auto"/>
        <w:jc w:val="both"/>
      </w:pPr>
      <w:r w:rsidRPr="00B20A48">
        <w:t xml:space="preserve">This is a document to be issued by the employer which testifies how long the employee had been employed at the employer; the position he/she held; and the wage he/she was earning while </w:t>
      </w:r>
      <w:r w:rsidRPr="00B20A48">
        <w:lastRenderedPageBreak/>
        <w:t>employed. (Art.12 (7) LP &amp; Art.87 FCSP) Actually this document may be requested and issued while the employee has been still employed (i.e. even without termination), in practice however, employees request for it after termination. It would be helpful for the employees in their effort to look for other employment.</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This document is available free of charge to all terminations except for termination due to death of the employee as it will not have a purpose to be served in cases where the termination is the result of death.</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As regards to the content of this certificate, reason for termination is not an essential element to be spelt out in such document. At times reason of termination may be unhelpful to the employee’s future effort for employment. For example, if the contract of employment was terminated due to the serious misdeed of the employee, mentioning such ground of termination in the certificate may negatively affect the employability of the individual. This seems the main reason why mentioning the reason for termination is not to be mentioned. Nevertheless, if the employee is willing and ready to write favourable terms to the employee, the law does not seem to have any objection.</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 xml:space="preserve"> In this connection, Recommendation No.119 of the ILO stated that “nothing unfavourable to the worker should be inserted in such certificate” Art.8 (2). (See also Civil Code of 1960 Art.2588 (2)) Under the Civil Service, Proclamation No. 262/2002 required the inclusion of reason for termination in the certificate. However, this has been deleted with the adoption of Proclamation No. 515/2007.(Compare. Art. 82 of Proc. No.262/2002 with Art.87 of Proc. No.515/2007). Hence even an employee whose contract of employment was terminated due to theft or breach of trust is entitled to “clean” Certificate of Service.</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 xml:space="preserve">Problem </w:t>
      </w:r>
    </w:p>
    <w:p w:rsidR="008A7065" w:rsidRPr="00B20A48" w:rsidRDefault="008A7065" w:rsidP="008A7065">
      <w:pPr>
        <w:spacing w:line="360" w:lineRule="auto"/>
        <w:jc w:val="both"/>
        <w:rPr>
          <w:b/>
          <w:i/>
        </w:rPr>
      </w:pPr>
      <w:r w:rsidRPr="00B20A48">
        <w:rPr>
          <w:b/>
          <w:i/>
        </w:rPr>
        <w:t>How and to what extent is the law fair in this respect? Why should reason of termination be withheld?</w:t>
      </w:r>
    </w:p>
    <w:p w:rsidR="008A7065" w:rsidRPr="00B20A48" w:rsidRDefault="008A7065" w:rsidP="008A7065">
      <w:pPr>
        <w:spacing w:line="360" w:lineRule="auto"/>
        <w:jc w:val="both"/>
        <w:rPr>
          <w:b/>
          <w:i/>
        </w:rPr>
      </w:pPr>
    </w:p>
    <w:p w:rsidR="008A7065" w:rsidRPr="00B20A48" w:rsidRDefault="008A7065" w:rsidP="008A7065">
      <w:pPr>
        <w:spacing w:line="360" w:lineRule="auto"/>
        <w:jc w:val="both"/>
        <w:rPr>
          <w:b/>
          <w:u w:val="single"/>
        </w:rPr>
      </w:pPr>
      <w:r w:rsidRPr="00B20A48">
        <w:rPr>
          <w:b/>
          <w:u w:val="single"/>
        </w:rPr>
        <w:t>2.4.2 Payment instead of unutilized annual leave</w:t>
      </w:r>
    </w:p>
    <w:p w:rsidR="008A7065" w:rsidRPr="00B20A48" w:rsidRDefault="008A7065" w:rsidP="008A7065">
      <w:pPr>
        <w:spacing w:line="360" w:lineRule="auto"/>
        <w:jc w:val="both"/>
      </w:pPr>
      <w:r w:rsidRPr="00B20A48">
        <w:lastRenderedPageBreak/>
        <w:t>In principle it is prohibited to convert annual leave into cash.</w:t>
      </w:r>
      <w:r w:rsidRPr="00B20A48">
        <w:rPr>
          <w:rStyle w:val="FootnoteReference"/>
          <w:rFonts w:eastAsiaTheme="majorEastAsia"/>
        </w:rPr>
        <w:footnoteReference w:id="6"/>
      </w:r>
      <w:r w:rsidRPr="00B20A48">
        <w:t xml:space="preserve">  However, if the contract of employment is terminated prior to the utilization of the annual leave, the employee is entitled to his pay for the leave he has not taken.</w:t>
      </w:r>
      <w:r w:rsidRPr="00B20A48">
        <w:rPr>
          <w:rStyle w:val="FootnoteReference"/>
          <w:rFonts w:eastAsiaTheme="majorEastAsia"/>
        </w:rPr>
        <w:footnoteReference w:id="7"/>
      </w:r>
      <w:r w:rsidRPr="00B20A48">
        <w:t xml:space="preserve"> As annual leave cannot be postponed for more than two years,</w:t>
      </w:r>
      <w:r w:rsidRPr="00B20A48">
        <w:rPr>
          <w:rStyle w:val="FootnoteReference"/>
          <w:rFonts w:eastAsiaTheme="majorEastAsia"/>
        </w:rPr>
        <w:footnoteReference w:id="8"/>
      </w:r>
      <w:r w:rsidRPr="00B20A48">
        <w:t xml:space="preserve"> the payment for this cannot be in excess of two years annual leave converted into cash.</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Problem</w:t>
      </w:r>
    </w:p>
    <w:p w:rsidR="008A7065" w:rsidRPr="00B20A48" w:rsidRDefault="008A7065" w:rsidP="008A7065">
      <w:pPr>
        <w:spacing w:line="360" w:lineRule="auto"/>
        <w:jc w:val="both"/>
        <w:rPr>
          <w:b/>
          <w:i/>
        </w:rPr>
      </w:pPr>
      <w:r w:rsidRPr="00B20A48">
        <w:rPr>
          <w:b/>
          <w:i/>
        </w:rPr>
        <w:t xml:space="preserve">What if the contract of employment was terminated by death? Are heirs of the deceased employee entitled to claim conversion of annual leave into cash? Why? </w:t>
      </w:r>
      <w:r w:rsidRPr="00B20A48">
        <w:rPr>
          <w:b/>
        </w:rPr>
        <w:t>Why</w:t>
      </w:r>
      <w:r w:rsidRPr="00B20A48">
        <w:rPr>
          <w:b/>
          <w:i/>
        </w:rPr>
        <w:t xml:space="preserve"> not?</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rPr>
          <w:b/>
          <w:u w:val="single"/>
        </w:rPr>
        <w:t>2.4.3 Severance payment</w:t>
      </w:r>
    </w:p>
    <w:p w:rsidR="008A7065" w:rsidRPr="00B20A48" w:rsidRDefault="008A7065" w:rsidP="008A7065">
      <w:pPr>
        <w:spacing w:line="360" w:lineRule="auto"/>
        <w:jc w:val="both"/>
      </w:pPr>
      <w:r w:rsidRPr="00B20A48">
        <w:t xml:space="preserve"> Unlike Certificate of Service and payment instead of annual leave which are available to almost all grounds of termination, severance payment is available to employees whose contract of employment is terminated on specified grounds.</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The most important limitation is, an employee who is entitled to pension payment immediately after termination is denied of severance payment.</w:t>
      </w:r>
      <w:r w:rsidRPr="00B20A48">
        <w:rPr>
          <w:rStyle w:val="FootnoteReference"/>
          <w:rFonts w:eastAsiaTheme="majorEastAsia"/>
        </w:rPr>
        <w:footnoteReference w:id="9"/>
      </w:r>
      <w:r w:rsidRPr="00B20A48">
        <w:t xml:space="preserve"> Whether an employee is entitled to pension scheme as soon as s/he is terminated or not will be determined on the basis of the Pension Proclamation.</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If the enterprise has already established a provident fund on the basis of work rule or collective agreement which is more beneficial to the employee than the severance payment available to him/her, the provident fund will be payable and severance payment will be denied in such cases.</w:t>
      </w:r>
      <w:r w:rsidRPr="00B20A48">
        <w:rPr>
          <w:rStyle w:val="FootnoteReference"/>
          <w:rFonts w:eastAsiaTheme="majorEastAsia"/>
        </w:rPr>
        <w:footnoteReference w:id="10"/>
      </w:r>
      <w:r w:rsidRPr="00B20A48">
        <w:t xml:space="preserve"> </w:t>
      </w:r>
      <w:r w:rsidRPr="00B20A48">
        <w:lastRenderedPageBreak/>
        <w:t>For grounds of termination which entitle severance payment, readers are advised to consult Art.39 (1) of LP No.377/2003; Art.2 (2) of Proc. No.494/2006 and Arts. 83 &amp; 88 of FCSP Proc. No.515/2007.</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Once the employee is entitled to severance payment, the amount of such payment will be determined on the amount of wage the individual was earning prior to termination and his/her length of service. It is interesting to note that the FCSP and the LP have slight difference with respect to determining the amount of the severance payment.(Refer Arts. 88(1)(a) and Art 40(1) respectively)</w:t>
      </w:r>
    </w:p>
    <w:p w:rsidR="008A7065" w:rsidRPr="00B20A48" w:rsidRDefault="008A7065" w:rsidP="008A7065">
      <w:pPr>
        <w:spacing w:line="360" w:lineRule="auto"/>
        <w:jc w:val="both"/>
      </w:pPr>
    </w:p>
    <w:p w:rsidR="008A7065" w:rsidRPr="00B20A48" w:rsidRDefault="008A7065" w:rsidP="008A7065">
      <w:pPr>
        <w:spacing w:line="360" w:lineRule="auto"/>
        <w:jc w:val="both"/>
        <w:rPr>
          <w:b/>
          <w:i/>
          <w:u w:val="single"/>
        </w:rPr>
      </w:pPr>
      <w:r w:rsidRPr="00B20A48">
        <w:rPr>
          <w:b/>
          <w:i/>
          <w:u w:val="single"/>
        </w:rPr>
        <w:t>Problem</w:t>
      </w:r>
    </w:p>
    <w:p w:rsidR="008A7065" w:rsidRPr="00B20A48" w:rsidRDefault="008A7065" w:rsidP="008A7065">
      <w:pPr>
        <w:spacing w:line="360" w:lineRule="auto"/>
        <w:jc w:val="both"/>
        <w:rPr>
          <w:b/>
          <w:i/>
        </w:rPr>
      </w:pPr>
      <w:r w:rsidRPr="00B20A48">
        <w:rPr>
          <w:b/>
          <w:i/>
        </w:rPr>
        <w:t xml:space="preserve">Why does the legislature decide to adopt such a double standard? Even if such double standard is justified, why should it be limited then to the first year of service only? </w:t>
      </w:r>
    </w:p>
    <w:p w:rsidR="008A7065" w:rsidRPr="00B20A48" w:rsidRDefault="008A7065" w:rsidP="008A7065">
      <w:pPr>
        <w:spacing w:line="360" w:lineRule="auto"/>
        <w:jc w:val="both"/>
      </w:pPr>
    </w:p>
    <w:p w:rsidR="008A7065" w:rsidRPr="00B20A48" w:rsidRDefault="008A7065" w:rsidP="008A7065">
      <w:pPr>
        <w:spacing w:line="360" w:lineRule="auto"/>
        <w:jc w:val="both"/>
      </w:pP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2.4.4 Compensation</w:t>
      </w:r>
    </w:p>
    <w:p w:rsidR="008A7065" w:rsidRPr="00B20A48" w:rsidRDefault="008A7065" w:rsidP="008A7065">
      <w:pPr>
        <w:spacing w:line="360" w:lineRule="auto"/>
        <w:jc w:val="both"/>
      </w:pPr>
      <w:r w:rsidRPr="00B20A48">
        <w:t xml:space="preserve"> Few grounds of termination have also produce entitlements of compensation to employees who have been separated on the basis of that particular ground. These entitlements are applicable only to employees under the labour law regime.</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Employees whose contract of employment have been terminated due to “the permanent cessation of operation of the undertaking because of bankruptcy or any other cause” (Art.24 (4) or due to lay off (Art.29) are entitled to compensation. Moreover, employees who resigned on an extra ordinary procedure (Art.32) are also beneficiaries of such compensation.</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lastRenderedPageBreak/>
        <w:t>The amount of compensation in such cases is a liquidated sum of “sixty multiplied by the average daily wage of the employee for the last week of service for the first two grounds of termination and an amount equal to thirty times his/her daily wages of the last week of service for the final ground of termination above. Unlike severance payment which takes length of service into consideration, the amount of compensation in both cases does not take the length of service of the employee into account.</w:t>
      </w:r>
    </w:p>
    <w:p w:rsidR="008A7065" w:rsidRPr="00B20A48" w:rsidRDefault="008A7065" w:rsidP="008A7065">
      <w:pPr>
        <w:spacing w:line="360" w:lineRule="auto"/>
        <w:jc w:val="both"/>
      </w:pPr>
    </w:p>
    <w:p w:rsidR="008A7065" w:rsidRPr="00B20A48" w:rsidRDefault="008A7065" w:rsidP="008A7065">
      <w:pPr>
        <w:spacing w:line="360" w:lineRule="auto"/>
        <w:jc w:val="both"/>
        <w:rPr>
          <w:b/>
          <w:u w:val="single"/>
        </w:rPr>
      </w:pPr>
      <w:r w:rsidRPr="00B20A48">
        <w:rPr>
          <w:b/>
          <w:u w:val="single"/>
        </w:rPr>
        <w:t>2.4.5 Period of limitation</w:t>
      </w:r>
    </w:p>
    <w:p w:rsidR="008A7065" w:rsidRPr="00B20A48" w:rsidRDefault="008A7065" w:rsidP="008A7065">
      <w:pPr>
        <w:spacing w:line="360" w:lineRule="auto"/>
        <w:jc w:val="both"/>
      </w:pPr>
      <w:r w:rsidRPr="00B20A48">
        <w:t>The time within which the entitlements are to be claimed is also relevant. In principle, the labour proclamation tends to fix short durations after the expiry of which the claim may be barred by limitation.(refer Art.162)</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In addition to fixing short of period of limitation, the law obligates the employer to effect all payments due to the employee within seven working days from the time of termination.(refer.Arts.36-38). It is interesting to note that the FCSP does not possess similar stipulations except in cases of disciplinary measures.</w:t>
      </w:r>
      <w:r w:rsidRPr="00B20A48">
        <w:rPr>
          <w:rStyle w:val="FootnoteReference"/>
          <w:rFonts w:eastAsiaTheme="majorEastAsia"/>
        </w:rPr>
        <w:footnoteReference w:id="11"/>
      </w:r>
    </w:p>
    <w:p w:rsidR="008A7065" w:rsidRPr="00B20A48" w:rsidRDefault="008A7065" w:rsidP="008A7065">
      <w:pPr>
        <w:spacing w:line="360" w:lineRule="auto"/>
        <w:jc w:val="both"/>
        <w:rPr>
          <w:b/>
          <w:u w:val="single"/>
        </w:rPr>
      </w:pPr>
    </w:p>
    <w:p w:rsidR="008A7065" w:rsidRPr="00B20A48" w:rsidRDefault="008A7065" w:rsidP="008A7065">
      <w:pPr>
        <w:spacing w:line="360" w:lineRule="auto"/>
        <w:jc w:val="both"/>
        <w:rPr>
          <w:b/>
          <w:u w:val="single"/>
        </w:rPr>
      </w:pPr>
    </w:p>
    <w:p w:rsidR="008A7065" w:rsidRPr="00B20A48" w:rsidRDefault="008A7065" w:rsidP="008A7065">
      <w:pPr>
        <w:spacing w:line="360" w:lineRule="auto"/>
        <w:jc w:val="both"/>
        <w:rPr>
          <w:b/>
          <w:u w:val="single"/>
        </w:rPr>
      </w:pPr>
    </w:p>
    <w:p w:rsidR="008A7065" w:rsidRPr="00B20A48" w:rsidRDefault="008A7065" w:rsidP="008A7065">
      <w:pPr>
        <w:spacing w:line="360" w:lineRule="auto"/>
        <w:jc w:val="both"/>
        <w:rPr>
          <w:b/>
          <w:u w:val="single"/>
        </w:rPr>
      </w:pPr>
    </w:p>
    <w:p w:rsidR="008A7065" w:rsidRPr="00B20A48" w:rsidRDefault="008A7065" w:rsidP="008A7065">
      <w:pPr>
        <w:spacing w:line="360" w:lineRule="auto"/>
        <w:jc w:val="both"/>
        <w:rPr>
          <w:b/>
          <w:u w:val="single"/>
        </w:rPr>
      </w:pPr>
      <w:r w:rsidRPr="00B20A48">
        <w:rPr>
          <w:b/>
          <w:u w:val="single"/>
        </w:rPr>
        <w:t xml:space="preserve">2.5  Unlawful termination and its effects </w:t>
      </w:r>
    </w:p>
    <w:p w:rsidR="008A7065" w:rsidRPr="00B20A48" w:rsidRDefault="008A7065" w:rsidP="008A7065">
      <w:pPr>
        <w:spacing w:line="360" w:lineRule="auto"/>
        <w:jc w:val="both"/>
      </w:pPr>
      <w:r w:rsidRPr="00B20A48">
        <w:t>Any termination which fails to observe the substantive or procedural requirements of termination shall be held unlawful.(refer Arts.14(1)(c),23(1) &amp; 42 of Labour Proclamation.</w:t>
      </w:r>
    </w:p>
    <w:p w:rsidR="008A7065" w:rsidRPr="00B20A48" w:rsidRDefault="008A7065" w:rsidP="008A7065">
      <w:pPr>
        <w:spacing w:line="360" w:lineRule="auto"/>
        <w:jc w:val="both"/>
      </w:pPr>
      <w:r w:rsidRPr="00B20A48">
        <w:t xml:space="preserve"> </w:t>
      </w:r>
    </w:p>
    <w:p w:rsidR="008A7065" w:rsidRPr="00B20A48" w:rsidRDefault="008A7065" w:rsidP="008A7065">
      <w:pPr>
        <w:spacing w:line="360" w:lineRule="auto"/>
        <w:jc w:val="both"/>
      </w:pPr>
      <w:r w:rsidRPr="00B20A48">
        <w:t>At this point in time, it may be appropriate to examine as to who has the burden of persuasion whether a certain termination is lawful or not. Under the traditional concept of contract law, “</w:t>
      </w:r>
      <w:r w:rsidRPr="00B20A48">
        <w:rPr>
          <w:i/>
        </w:rPr>
        <w:t>someone who demands the performance</w:t>
      </w:r>
      <w:r w:rsidRPr="00B20A48">
        <w:t xml:space="preserve"> </w:t>
      </w:r>
      <w:r w:rsidRPr="00B20A48">
        <w:rPr>
          <w:i/>
        </w:rPr>
        <w:t>of an obligation should prove its</w:t>
      </w:r>
      <w:r w:rsidRPr="00B20A48">
        <w:t xml:space="preserve"> </w:t>
      </w:r>
      <w:r w:rsidRPr="00B20A48">
        <w:rPr>
          <w:i/>
        </w:rPr>
        <w:t>existence</w:t>
      </w:r>
      <w:r w:rsidRPr="00B20A48">
        <w:t>.”</w:t>
      </w:r>
      <w:r w:rsidRPr="00B20A48">
        <w:rPr>
          <w:rStyle w:val="FootnoteReference"/>
          <w:rFonts w:eastAsiaTheme="majorEastAsia"/>
        </w:rPr>
        <w:footnoteReference w:id="12"/>
      </w:r>
      <w:r w:rsidRPr="00B20A48">
        <w:t xml:space="preserve"> As a contract of employment is a special contract, the general principle of contract law will be applied on it unless and until it possesses its own specific principle on the issue. Based on this general </w:t>
      </w:r>
      <w:r w:rsidRPr="00B20A48">
        <w:lastRenderedPageBreak/>
        <w:t>principle, if and when the employee alleges that s/he has been unlawfully terminated and requests for reinstatement or compensation or both, s/he will be required to show to the satisfaction of the impartial that the termination was indeed unlawful. Nevertheless, both the labour proclamation and the ILO convention on termination of employment</w:t>
      </w:r>
      <w:r w:rsidRPr="00B20A48">
        <w:rPr>
          <w:rStyle w:val="FootnoteReference"/>
          <w:rFonts w:eastAsiaTheme="majorEastAsia"/>
        </w:rPr>
        <w:footnoteReference w:id="13"/>
      </w:r>
      <w:r w:rsidRPr="00B20A48">
        <w:t xml:space="preserve"> seem to deviate from this general principle. They seem to adopt the</w:t>
      </w:r>
      <w:r w:rsidRPr="00B20A48">
        <w:rPr>
          <w:b/>
          <w:i/>
        </w:rPr>
        <w:t xml:space="preserve"> reverse burden of proof</w:t>
      </w:r>
      <w:r w:rsidRPr="00B20A48">
        <w:t xml:space="preserve"> approach.</w:t>
      </w:r>
    </w:p>
    <w:p w:rsidR="008A7065" w:rsidRPr="00B20A48" w:rsidRDefault="008A7065" w:rsidP="008A7065">
      <w:pPr>
        <w:spacing w:line="360" w:lineRule="auto"/>
        <w:jc w:val="both"/>
      </w:pPr>
    </w:p>
    <w:p w:rsidR="008A7065" w:rsidRPr="00B20A48" w:rsidRDefault="008A7065" w:rsidP="008A7065">
      <w:pPr>
        <w:spacing w:line="360" w:lineRule="auto"/>
        <w:jc w:val="both"/>
      </w:pPr>
      <w:r w:rsidRPr="00B20A48">
        <w:t xml:space="preserve">The labour proclamation has laid down a presumption that any contract of employment is deemed concluded for </w:t>
      </w:r>
      <w:r w:rsidRPr="00B20A48">
        <w:rPr>
          <w:i/>
        </w:rPr>
        <w:t>indefinite</w:t>
      </w:r>
      <w:r w:rsidRPr="00B20A48">
        <w:t xml:space="preserve"> duration. Hence, in termination cases, this presumption will have an effect of shifting the burden of proof to the employer to show the contract was lawfully terminated by relying on either of the grounds under Art.10 or any of the grounds of termination spelt out in the proclamation. Consistent with this, the Convention on Termination of Employment and the explanatory note for it have the following to say:</w:t>
      </w:r>
    </w:p>
    <w:p w:rsidR="008A7065" w:rsidRPr="00B20A48" w:rsidRDefault="008A7065" w:rsidP="008A7065">
      <w:pPr>
        <w:spacing w:line="360" w:lineRule="auto"/>
        <w:jc w:val="both"/>
      </w:pPr>
      <w:r w:rsidRPr="00B20A48">
        <w:t xml:space="preserve">(Extracts from </w:t>
      </w:r>
      <w:r w:rsidRPr="00B20A48">
        <w:rPr>
          <w:b/>
        </w:rPr>
        <w:t>General Survey of Committee of Experts</w:t>
      </w:r>
      <w:r w:rsidRPr="00B20A48">
        <w:t xml:space="preserve"> on </w:t>
      </w:r>
      <w:r w:rsidRPr="00B20A48">
        <w:rPr>
          <w:i/>
        </w:rPr>
        <w:t>Protection against unjustified</w:t>
      </w:r>
      <w:r w:rsidRPr="00B20A48">
        <w:t xml:space="preserve"> </w:t>
      </w:r>
      <w:r w:rsidRPr="00B20A48">
        <w:rPr>
          <w:i/>
        </w:rPr>
        <w:t>dismissal PP.77-80</w:t>
      </w:r>
      <w:r w:rsidRPr="00B20A48">
        <w:rPr>
          <w:rStyle w:val="FootnoteReference"/>
          <w:rFonts w:eastAsiaTheme="majorEastAsia"/>
          <w:i/>
        </w:rPr>
        <w:footnoteReference w:id="14"/>
      </w:r>
      <w:r w:rsidRPr="00B20A48">
        <w:rPr>
          <w:i/>
        </w:rPr>
        <w:t>)</w:t>
      </w:r>
    </w:p>
    <w:p w:rsidR="008A7065" w:rsidRPr="00B20A48" w:rsidRDefault="008A7065" w:rsidP="008A7065">
      <w:pPr>
        <w:pStyle w:val="NormalWeb"/>
        <w:spacing w:before="0" w:beforeAutospacing="0" w:after="0" w:afterAutospacing="0" w:line="360" w:lineRule="auto"/>
        <w:ind w:left="720"/>
        <w:jc w:val="both"/>
      </w:pPr>
      <w:r w:rsidRPr="00B20A48">
        <w:t>198. As regards the burden of proof Article 9, paragraph 2, provides that "in order for the worker not to have to bear alone the burden of proving that the termination was not justified, the methods of implementation referred to in Article 1 of this Convention shall provide for one or the other or both of the following possibilities: (a) the burden of proving the existence of a valid reason for the termination as defined in Article 4 of this Convention shall rest on the employer; (b) the bodies referred to in Article 8 of this Convention shall be empowered to reach a conclusion on the reason for the termination having regard to the evidence provided by the parties and according to procedures provided for by national law and practice".</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 xml:space="preserve">199. The success of an appeal against unjustified termination of employment depends to a large extent on the ability of the worker/complainant to convince the competent impartial body of the justification of his complaint, which in turn will depend mainly on the evidence submitted. In cases of termination of employment, the application of the general rule applicable in contract law, whereby the burden of proof rests on the complainant, </w:t>
      </w:r>
      <w:r w:rsidRPr="00B20A48">
        <w:lastRenderedPageBreak/>
        <w:t>could make it practically impossible for the worker to show that the termination was unjustified, particularly since proof of the real reasons is generally in the possession of the employer. This is all the more true if there is no clear statement of the reasons by the employer, which may well be the case when the employer is not required to provide written reasons for the termination of employment. In an employment relationship, it is the employer who has the upper hand, particularly because he controls the sources of information.</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200. The Convention therefore lays down the principle in Article 9, paragraph 2, that the worker must not "have to bear alone the burden of proving that the termination was not justified" and proposes several possible methods of achieving this. Under the first of these (Article 9, paragraph 2(a)), the burden of proving the existence of a valid reason rests on the employer. This text clearly indicates that the employer is required to present evidence showing that there is a valid reason, as defined by Article 4 of the Convention. It is the responsibility of the impartial body to decide, in the light of the evidence presented, whether the termination is justified.</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201. The second possibility (Article 9, paragraph 2(b)) consists of not placing the burden of proof on either the employer or the worker, but allowing the impartial body to reach a conclusion in the light of the evidence provided by the two parties. This implies that each party, in his own interest, will submit to the body the evidence at his disposal and which he considers as establishing his case, and that the body will use, where appropriate, any power of investigation accorded to it by national law and practice.</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202. Finally, the third option is to provide for both of the above possibilities. The methods of implementation referred to in Article 1 must therefore include one or the other or both of these two possibilities.</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 xml:space="preserve">203. The Convention therefore distances itself from the traditional concept of contract law, whereby the burden of proof is placed on the complainant. It is based in particular on the tradition of common law countries in which the employer was required to provide </w:t>
      </w:r>
      <w:r w:rsidRPr="00B20A48">
        <w:lastRenderedPageBreak/>
        <w:t>proof of the justification of termination of employment without notice for serious misconduct and on the concepts now current in other countries in civil proceedings in which the judge decides in the light of the evidence before him, mainly the evidence presented by the parties, thereby participating in the search for the truth, often with real powers of investigation. It is also linked to the principle whereby in labour disputes legal provisions must be interpreted in favour of the worker.</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204. Many countries place the burden of proving the existence of a valid reason for termination of employment on the employer. This is the case in some countries which stipulate that the burden must concern the reason given to justify the termination and all the relating circumstances with a view to establishing proof that the termination was reasonable. The employer may be required to keep relevant documents in the enterprise to be used in evidence in the event of appeal. In the specific case in which reasons based on the operation of the enterprise are invoked, the body is sometimes empowered to carry out an inquiry.</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205. Several States which refer to the principle of "wrongful dismissal” indirectly place the burden of proof on the employer by defining wrongful dismissal as termination of employment without legitimate reason. Under the legislation of these countries, dismissal is wrongful if the employer is unable to prove the existence of a legitimate reason for termination of employment or the real and serious nature of the reason invoked. In some countries, the burden of proof is placed on the employer only if a certain category of worker is involved: this is the case for example in Belgium, where the concept of wrongful dismissal applies only to wage-earners and not to salaried employees, who must justify any legal action that they take and produce the necessary evidence.</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 xml:space="preserve">206. Some countries recognize a presumption in favour of a worker whose employment has been terminated, which the employer must refute. For example, in Cyprus, in any court proceedings there is a presumption, unless there is proof to the contrary, that the employer has not terminated the employment of a worker for a valid reason. Sometimes, these presumptions are established for specific cases of discriminatory termination of </w:t>
      </w:r>
      <w:r w:rsidRPr="00B20A48">
        <w:lastRenderedPageBreak/>
        <w:t xml:space="preserve">employment. This is the case, for example, in Argentina, for women workers whose employment is terminated for reasons of maternity or marriage. In Italy, when the complainant provides proof (including statistical proof on practices with regard to termination of employment) which specifically and systematically justifies the presumption of discrimination based on sex, the burden of proof rests with the employer to refute this presumption. Furthermore, as regards anti-union discrimination, the legislation of several countries has strengthened workers' protection by requiring the employer to prove that the allegedly anti-union measure was based on reasons other than trade union activities; some texts expressly establish a presumption in favour of workers. </w:t>
      </w:r>
    </w:p>
    <w:p w:rsidR="008A7065" w:rsidRPr="00B20A48" w:rsidRDefault="008A7065" w:rsidP="008A7065">
      <w:pPr>
        <w:pStyle w:val="NormalWeb"/>
        <w:spacing w:before="0" w:beforeAutospacing="0" w:after="0" w:afterAutospacing="0" w:line="360" w:lineRule="auto"/>
        <w:ind w:left="720"/>
        <w:jc w:val="both"/>
      </w:pPr>
      <w:r w:rsidRPr="00B20A48">
        <w:t>207. Since it is difficult for a worker who is the victim of discrimination (irrespective of whether the discrimination is anti-union or on other grounds) to prove that he has been the victim of such discrimination, the Committee considers that legislation and practice should contain measures to remedy these difficulties; the methods mentioned above could contribute in this respect.</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 xml:space="preserve">208. In one country in which industrial relations are based mainly on collective agreements, legal provisions have sometimes been adopted to fill possible gaps in collective agreements. Unless an agreement provides for the contrary, these provisions place the burden of proof on the employer. </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209. Some reasons may serve as criteria for reversing the burden of proof and transferring it to the employer. This may be the case, for example, with allegations of serious misconduct, given the negative consequences which such misconduct, if proven, would have for the worker, such as the loss of entitlement to a severance allowance.</w:t>
      </w:r>
    </w:p>
    <w:p w:rsidR="008A7065" w:rsidRPr="00B20A48" w:rsidRDefault="008A7065" w:rsidP="008A7065">
      <w:pPr>
        <w:pStyle w:val="NormalWeb"/>
        <w:spacing w:before="0" w:beforeAutospacing="0" w:after="0" w:afterAutospacing="0" w:line="360" w:lineRule="auto"/>
        <w:ind w:left="720"/>
        <w:jc w:val="both"/>
      </w:pPr>
    </w:p>
    <w:p w:rsidR="008A7065" w:rsidRPr="00B20A48" w:rsidRDefault="008A7065" w:rsidP="008A7065">
      <w:pPr>
        <w:pStyle w:val="NormalWeb"/>
        <w:spacing w:before="0" w:beforeAutospacing="0" w:after="0" w:afterAutospacing="0" w:line="360" w:lineRule="auto"/>
        <w:ind w:left="720"/>
        <w:jc w:val="both"/>
      </w:pPr>
      <w:r w:rsidRPr="00B20A48">
        <w:t xml:space="preserve">210. Some countries have abandoned procedures which place the burden of proof on the complainant, but do not impose it on the employer either. Instead, they have adopted the alternative solution envisaged in Article 9, paragraph 2(b), of the Convention and do not impose the burden of proof on either party. In accordance with this solution, the parties each provide the competent body with the necessary facts to enable it to render a decision. Article 9, paragraph 2(b), specifies that the bodies shall be empowered to reach </w:t>
      </w:r>
      <w:r w:rsidRPr="00B20A48">
        <w:lastRenderedPageBreak/>
        <w:t xml:space="preserve">a conclusion "according to procedures provided for by national law and practice". In some cases, it may be laid down that, in order to reach its conclusion, the body may collect further information (other than that submitted by the parties) using all means of investigation considered appropriate. For example, in the Philippines, the competent bodies may resort to all reasonable means to allow them to rapidly and objectively ascertain the facts in each case. In Tunisia, the body, in this case the judge, can have recourse to all the means of investigation he deems necessary. </w:t>
      </w:r>
    </w:p>
    <w:p w:rsidR="008A7065" w:rsidRPr="00B20A48" w:rsidRDefault="008A7065" w:rsidP="008A7065">
      <w:pPr>
        <w:pStyle w:val="NormalWeb"/>
        <w:spacing w:before="0" w:beforeAutospacing="0" w:after="0" w:afterAutospacing="0" w:line="360" w:lineRule="auto"/>
        <w:ind w:left="720"/>
        <w:jc w:val="both"/>
      </w:pPr>
      <w:r w:rsidRPr="00B20A48">
        <w:t xml:space="preserve">211. A problem may arise if the judge cannot reach a conclusion on the basis of the evidence, or following an inquiry, and if a doubt remains. In a number of countries, it is considered that where a doubt subsists the burden of proof should rest on the employer. In fact, as termination of employment is unjustified unless there is a valid reason, if it is impossible for the judge to ascertain that there is such a reason then the logical conclusion is to recognize that the conditions for such justification, and therefore the right to termination of employment, do not exist. </w:t>
      </w:r>
    </w:p>
    <w:p w:rsidR="008A7065" w:rsidRPr="00B20A48" w:rsidRDefault="008A7065" w:rsidP="008A7065">
      <w:pPr>
        <w:spacing w:line="360" w:lineRule="auto"/>
        <w:jc w:val="both"/>
      </w:pPr>
      <w:r w:rsidRPr="00B20A48">
        <w:t xml:space="preserve"> </w:t>
      </w:r>
    </w:p>
    <w:p w:rsidR="008A7065" w:rsidRPr="00B20A48" w:rsidRDefault="008A7065" w:rsidP="008A7065">
      <w:pPr>
        <w:spacing w:line="360" w:lineRule="auto"/>
        <w:jc w:val="both"/>
      </w:pPr>
      <w:r w:rsidRPr="00B20A48">
        <w:t>Be this as it may, the remedy for unlawful termination is not one and the same in all cases. It rather depends on the nature of the unlawfulness. Although, in substantial majority of the cases, it will be the employer who will engage in unlawful terminations, it is also possible that the employee could commit the same. Usually employers terminate employment contracts with out having lawful reason for so doing. At other times, they may have lawful reasons for termination at their disposal, but they may not follow the requisite procedure of termination (such as failure to provide notice where the law requires prior notice (Art.28 &amp; 29) or provision of inadequate notice (Art.35) or failure to observe form &amp; content of notice (Art.34)). All the same, broadly speaking, all of them are unlawful terminations. However the law tends to treat them in different manners.</w:t>
      </w:r>
    </w:p>
    <w:p w:rsidR="008A7065" w:rsidRPr="00B20A48" w:rsidRDefault="008A7065" w:rsidP="008A7065">
      <w:pPr>
        <w:spacing w:line="360" w:lineRule="auto"/>
        <w:jc w:val="both"/>
      </w:pPr>
      <w:r w:rsidRPr="00B20A48">
        <w:t xml:space="preserve"> </w:t>
      </w:r>
    </w:p>
    <w:p w:rsidR="008A7065" w:rsidRPr="00B20A48" w:rsidRDefault="008A7065" w:rsidP="008A7065">
      <w:pPr>
        <w:spacing w:line="360" w:lineRule="auto"/>
        <w:jc w:val="both"/>
      </w:pPr>
      <w:r w:rsidRPr="00B20A48">
        <w:t xml:space="preserve"> Generally reinstatement(Arts.26(2)&amp; 43(1)), compensation together with severance payment(Art.43(2),(3)(4) &amp;39(1)(b)), payment inleu of notice period(Art.44 &amp; 45), fine(Art.14(1)(c)&amp;184(2)(c) are the remedies stipulated by law for unlawful terminations.</w:t>
      </w:r>
    </w:p>
    <w:p w:rsidR="008A7065" w:rsidRPr="00B20A48" w:rsidRDefault="008A7065" w:rsidP="008A7065">
      <w:pPr>
        <w:spacing w:line="360" w:lineRule="auto"/>
        <w:jc w:val="both"/>
        <w:rPr>
          <w:b/>
          <w:i/>
          <w:u w:val="single"/>
        </w:rPr>
      </w:pPr>
      <w:r w:rsidRPr="00B20A48">
        <w:rPr>
          <w:b/>
          <w:i/>
          <w:u w:val="single"/>
        </w:rPr>
        <w:t>Note &amp; Exercise</w:t>
      </w:r>
    </w:p>
    <w:p w:rsidR="008A7065" w:rsidRPr="00B20A48" w:rsidRDefault="008A7065" w:rsidP="008A7065">
      <w:pPr>
        <w:spacing w:line="360" w:lineRule="auto"/>
        <w:jc w:val="both"/>
        <w:rPr>
          <w:b/>
          <w:i/>
        </w:rPr>
      </w:pPr>
      <w:r w:rsidRPr="00B20A48">
        <w:rPr>
          <w:b/>
          <w:i/>
        </w:rPr>
        <w:lastRenderedPageBreak/>
        <w:t>Please refer to Arts.43, 44 and 45 of the Labour proclamation and identify the distinction the legislature has made as to the remedies it attached for unlawful terminations; in substance (Art.43 (1) &amp; (2) and terminations unlawful in procedure (Art.44 &amp;45)</w:t>
      </w:r>
    </w:p>
    <w:p w:rsidR="008A7065" w:rsidRPr="00B20A48" w:rsidRDefault="008A7065" w:rsidP="008A7065">
      <w:pPr>
        <w:spacing w:line="360" w:lineRule="auto"/>
        <w:jc w:val="both"/>
        <w:rPr>
          <w:b/>
          <w:i/>
        </w:rPr>
      </w:pPr>
    </w:p>
    <w:p w:rsidR="008A7065" w:rsidRPr="00B20A48" w:rsidRDefault="008A7065" w:rsidP="008A7065">
      <w:pPr>
        <w:spacing w:line="360" w:lineRule="auto"/>
        <w:jc w:val="both"/>
        <w:rPr>
          <w:b/>
          <w:i/>
        </w:rPr>
      </w:pPr>
      <w:r w:rsidRPr="00B20A48">
        <w:rPr>
          <w:b/>
          <w:i/>
        </w:rPr>
        <w:t xml:space="preserve">The legislature seems more serious about terminations on grounds mentioned under Art.26 (1) than the other terminations, because for such terminations it opted for legislatively determined remedy on the basis of Art.43 (1) (i.e. reinstatement)rather than leaving it to be judicially determined. This means the employer will be compelled to accept “unwanted” service. Wouldn’t this be a danger to industrial peace which is one of the objectives of the Proclamation? Why do you think is the legislature determined to taking such measure? </w:t>
      </w:r>
    </w:p>
    <w:p w:rsidR="008A7065" w:rsidRPr="00B20A48" w:rsidRDefault="008A7065" w:rsidP="008A7065">
      <w:pPr>
        <w:spacing w:line="360" w:lineRule="auto"/>
        <w:jc w:val="both"/>
        <w:rPr>
          <w:b/>
          <w:i/>
        </w:rPr>
      </w:pPr>
    </w:p>
    <w:p w:rsidR="008A7065" w:rsidRPr="00B20A48" w:rsidRDefault="008A7065" w:rsidP="008A7065">
      <w:pPr>
        <w:spacing w:line="360" w:lineRule="auto"/>
        <w:jc w:val="both"/>
        <w:rPr>
          <w:b/>
          <w:i/>
        </w:rPr>
      </w:pPr>
      <w:r w:rsidRPr="00B20A48">
        <w:rPr>
          <w:b/>
          <w:i/>
          <w:u w:val="single"/>
        </w:rPr>
        <w:t>NB</w:t>
      </w:r>
      <w:r w:rsidRPr="00B20A48">
        <w:rPr>
          <w:b/>
          <w:i/>
        </w:rPr>
        <w:t xml:space="preserve">. Most of the protected grounds of discrimination under Art.26 (1) are unchosen, unchangeable and irrelevant for the purpose. For instance, one cannot choose her sex or ethnic origin; even with utmost effort or diligence one cannot change her sex or ethnic origin even if she decides to change that “negative factor”. Last but by no means least, there is no scientific evidence which shows a link between productivity and sex, ethnic origin or religion. Thus it will be the most unfair and unjust misdeed to discriminate someone because of “ possessing” a factor which she did not choose and which she cannot change it and which does not have any negative impact on her integrity or productivity. </w:t>
      </w:r>
    </w:p>
    <w:p w:rsidR="008A7065" w:rsidRPr="00B20A48" w:rsidRDefault="008A7065" w:rsidP="008A7065">
      <w:pPr>
        <w:spacing w:line="360" w:lineRule="auto"/>
        <w:jc w:val="both"/>
      </w:pPr>
      <w:r w:rsidRPr="00B20A48">
        <w:t xml:space="preserve">           -----------------------------------------------------------</w:t>
      </w:r>
    </w:p>
    <w:p w:rsidR="002E6C81" w:rsidRDefault="002E6C81"/>
    <w:sectPr w:rsidR="002E6C81" w:rsidSect="002E6C8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10B8" w:rsidRDefault="00C010B8" w:rsidP="008A7065">
      <w:r>
        <w:separator/>
      </w:r>
    </w:p>
  </w:endnote>
  <w:endnote w:type="continuationSeparator" w:id="1">
    <w:p w:rsidR="00C010B8" w:rsidRDefault="00C010B8" w:rsidP="008A70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10B8" w:rsidRDefault="00C010B8" w:rsidP="008A7065">
      <w:r>
        <w:separator/>
      </w:r>
    </w:p>
  </w:footnote>
  <w:footnote w:type="continuationSeparator" w:id="1">
    <w:p w:rsidR="00C010B8" w:rsidRDefault="00C010B8" w:rsidP="008A7065">
      <w:r>
        <w:continuationSeparator/>
      </w:r>
    </w:p>
  </w:footnote>
  <w:footnote w:id="2">
    <w:p w:rsidR="008A7065" w:rsidRDefault="008A7065" w:rsidP="008A7065">
      <w:pPr>
        <w:pStyle w:val="FootnoteText"/>
      </w:pPr>
      <w:r>
        <w:rPr>
          <w:rStyle w:val="FootnoteReference"/>
          <w:rFonts w:eastAsiaTheme="majorEastAsia"/>
        </w:rPr>
        <w:footnoteRef/>
      </w:r>
      <w:r>
        <w:t xml:space="preserve"> Art. 18(1) LP &amp; Art.45 (1) FCSP.</w:t>
      </w:r>
    </w:p>
  </w:footnote>
  <w:footnote w:id="3">
    <w:p w:rsidR="008A7065" w:rsidRDefault="008A7065" w:rsidP="008A7065">
      <w:pPr>
        <w:pStyle w:val="FootnoteText"/>
      </w:pPr>
      <w:r>
        <w:rPr>
          <w:rStyle w:val="FootnoteReference"/>
          <w:rFonts w:eastAsiaTheme="majorEastAsia"/>
        </w:rPr>
        <w:footnoteRef/>
      </w:r>
      <w:r>
        <w:t xml:space="preserve"> Art.18(2) LP &amp; Art.45(2) FCSP.</w:t>
      </w:r>
    </w:p>
  </w:footnote>
  <w:footnote w:id="4">
    <w:p w:rsidR="008A7065" w:rsidRDefault="008A7065" w:rsidP="008A7065">
      <w:pPr>
        <w:pStyle w:val="FootnoteText"/>
      </w:pPr>
      <w:r>
        <w:rPr>
          <w:rStyle w:val="FootnoteReference"/>
          <w:rFonts w:eastAsiaTheme="majorEastAsia"/>
        </w:rPr>
        <w:footnoteRef/>
      </w:r>
      <w:r>
        <w:t xml:space="preserve"> Ibid, Art.184(1)(c)</w:t>
      </w:r>
    </w:p>
  </w:footnote>
  <w:footnote w:id="5">
    <w:p w:rsidR="008A7065" w:rsidRDefault="008A7065" w:rsidP="008A7065">
      <w:pPr>
        <w:pStyle w:val="FootnoteText"/>
      </w:pPr>
      <w:r>
        <w:rPr>
          <w:rStyle w:val="FootnoteReference"/>
          <w:rFonts w:eastAsiaTheme="majorEastAsia"/>
        </w:rPr>
        <w:footnoteRef/>
      </w:r>
      <w:r>
        <w:t xml:space="preserve"> Art.27(4) LP &amp; Art.70 FCSP.</w:t>
      </w:r>
    </w:p>
  </w:footnote>
  <w:footnote w:id="6">
    <w:p w:rsidR="008A7065" w:rsidRDefault="008A7065" w:rsidP="008A7065">
      <w:pPr>
        <w:pStyle w:val="FootnoteText"/>
      </w:pPr>
      <w:r>
        <w:rPr>
          <w:rStyle w:val="FootnoteReference"/>
          <w:rFonts w:eastAsiaTheme="majorEastAsia"/>
        </w:rPr>
        <w:footnoteRef/>
      </w:r>
      <w:r>
        <w:t xml:space="preserve"> Art. 36(3) FCSP &amp; Art. 76(2) LP</w:t>
      </w:r>
    </w:p>
  </w:footnote>
  <w:footnote w:id="7">
    <w:p w:rsidR="008A7065" w:rsidRDefault="008A7065" w:rsidP="008A7065">
      <w:pPr>
        <w:pStyle w:val="FootnoteText"/>
      </w:pPr>
      <w:r>
        <w:rPr>
          <w:rStyle w:val="FootnoteReference"/>
          <w:rFonts w:eastAsiaTheme="majorEastAsia"/>
        </w:rPr>
        <w:footnoteRef/>
      </w:r>
      <w:r>
        <w:t xml:space="preserve"> Ibid. Art. 36(3)FCSP and Art.77(5)LP respectively</w:t>
      </w:r>
    </w:p>
  </w:footnote>
  <w:footnote w:id="8">
    <w:p w:rsidR="008A7065" w:rsidRDefault="008A7065" w:rsidP="008A7065">
      <w:pPr>
        <w:pStyle w:val="FootnoteText"/>
      </w:pPr>
      <w:r>
        <w:rPr>
          <w:rStyle w:val="FootnoteReference"/>
          <w:rFonts w:eastAsiaTheme="majorEastAsia"/>
        </w:rPr>
        <w:footnoteRef/>
      </w:r>
      <w:r>
        <w:t xml:space="preserve"> Ibid. Art.39(1) &amp; Art.79(5) respectively</w:t>
      </w:r>
    </w:p>
  </w:footnote>
  <w:footnote w:id="9">
    <w:p w:rsidR="008A7065" w:rsidRDefault="008A7065" w:rsidP="008A7065">
      <w:pPr>
        <w:pStyle w:val="FootnoteText"/>
      </w:pPr>
      <w:r>
        <w:rPr>
          <w:rStyle w:val="FootnoteReference"/>
          <w:rFonts w:eastAsiaTheme="majorEastAsia"/>
        </w:rPr>
        <w:footnoteRef/>
      </w:r>
      <w:r>
        <w:t xml:space="preserve"> Labour Proclamation No.494/2006 Art.2 (g) &amp; Art. 88(1) Federal Civil Service Proclamation</w:t>
      </w:r>
    </w:p>
  </w:footnote>
  <w:footnote w:id="10">
    <w:p w:rsidR="008A7065" w:rsidRDefault="008A7065" w:rsidP="008A7065">
      <w:pPr>
        <w:pStyle w:val="FootnoteText"/>
      </w:pPr>
      <w:r>
        <w:rPr>
          <w:rStyle w:val="FootnoteReference"/>
          <w:rFonts w:eastAsiaTheme="majorEastAsia"/>
        </w:rPr>
        <w:footnoteRef/>
      </w:r>
      <w:r>
        <w:t xml:space="preserve"> It should be admitted at this point that some lawyers tend to hold that provident fund and severance payment are both available to an employee whose contract is terminated. However, in my view, with due respect to such an opinion, I disagree with it. First of all, it should be noted that severance payment is one of the minimum labour conditions. It means that if a contract of employment, work rule or collective agreement comes up with more favourable terms; its applicability will be withheld. Secondly, the recently adopted (i.e. Proc. No.494/2006) particularly Art.2 (2) (g) may be of some help in determining the intention of the legislature that provident fund and severance payment are mutually exclusive. Thirdly, Termination of Employment Convention No.158, to which Ethiopia is a party, under Art.12(1) (a) has been stipulated the following: “a worker whose employment has been terminated shall be entitled, in accordance with national law and practice, to a severance allowance or other separation benefits, the amount of which shall be based inter alia on length of service and the level of wages, and </w:t>
      </w:r>
      <w:r w:rsidRPr="0050576A">
        <w:rPr>
          <w:b/>
        </w:rPr>
        <w:t>paid directly by the employer or by a</w:t>
      </w:r>
      <w:r>
        <w:t xml:space="preserve"> </w:t>
      </w:r>
      <w:r w:rsidRPr="0050576A">
        <w:rPr>
          <w:b/>
        </w:rPr>
        <w:t>fund constituted by employers’ contributions</w:t>
      </w:r>
      <w:r>
        <w:t xml:space="preserve">(emphasis mine). Admittedly, the Convention seems to envisage the payment of the combination of both </w:t>
      </w:r>
      <w:r w:rsidRPr="00A05749">
        <w:rPr>
          <w:b/>
        </w:rPr>
        <w:t>an allowance</w:t>
      </w:r>
      <w:r>
        <w:t xml:space="preserve"> and </w:t>
      </w:r>
      <w:r w:rsidRPr="00A05749">
        <w:rPr>
          <w:b/>
        </w:rPr>
        <w:t>separation benefit</w:t>
      </w:r>
      <w:r>
        <w:t xml:space="preserve"> (Art.12 (1)(c); nevertheless, it must be expressly stated by national law or by express agreement of the parties and in the absence of express stipulation the fair assumption will be only one of them(i.e. the more beneficial of the two) will be accorded to the employee. Fourthly, even from logic point view, if the employer is to be compelled to effect both payments to a single termination it will not have an incentive to provide for provident fund through collective agreement or work rule as it could not save it from any legal obligation. Thus such an approach, on the long run, will be to the disadvantage of the employees.</w:t>
      </w:r>
    </w:p>
  </w:footnote>
  <w:footnote w:id="11">
    <w:p w:rsidR="008A7065" w:rsidRDefault="008A7065" w:rsidP="008A7065">
      <w:pPr>
        <w:pStyle w:val="FootnoteText"/>
      </w:pPr>
      <w:r>
        <w:rPr>
          <w:rStyle w:val="FootnoteReference"/>
          <w:rFonts w:eastAsiaTheme="majorEastAsia"/>
        </w:rPr>
        <w:footnoteRef/>
      </w:r>
      <w:r>
        <w:t xml:space="preserve"> Art. 71 FCSP.</w:t>
      </w:r>
    </w:p>
  </w:footnote>
  <w:footnote w:id="12">
    <w:p w:rsidR="008A7065" w:rsidRDefault="008A7065" w:rsidP="008A7065">
      <w:pPr>
        <w:pStyle w:val="FootnoteText"/>
      </w:pPr>
      <w:r>
        <w:rPr>
          <w:rStyle w:val="FootnoteReference"/>
          <w:rFonts w:eastAsiaTheme="majorEastAsia"/>
        </w:rPr>
        <w:footnoteRef/>
      </w:r>
      <w:r>
        <w:t xml:space="preserve"> Civil Code Art.2001(1)</w:t>
      </w:r>
    </w:p>
  </w:footnote>
  <w:footnote w:id="13">
    <w:p w:rsidR="008A7065" w:rsidRPr="00416F14" w:rsidRDefault="008A7065" w:rsidP="008A7065">
      <w:pPr>
        <w:pStyle w:val="FootnoteText"/>
      </w:pPr>
      <w:r>
        <w:rPr>
          <w:rStyle w:val="FootnoteReference"/>
          <w:rFonts w:eastAsiaTheme="majorEastAsia"/>
        </w:rPr>
        <w:footnoteRef/>
      </w:r>
      <w:r>
        <w:t xml:space="preserve"> ILO Convention No.158, </w:t>
      </w:r>
      <w:r w:rsidRPr="00416F14">
        <w:rPr>
          <w:i/>
        </w:rPr>
        <w:t>Termination of Employment Convention</w:t>
      </w:r>
      <w:r>
        <w:t xml:space="preserve"> ratified by </w:t>
      </w:r>
      <w:smartTag w:uri="urn:schemas-microsoft-com:office:smarttags" w:element="country-region">
        <w:smartTag w:uri="urn:schemas-microsoft-com:office:smarttags" w:element="place">
          <w:r>
            <w:t>Ethiopia</w:t>
          </w:r>
        </w:smartTag>
      </w:smartTag>
      <w:r>
        <w:t xml:space="preserve"> in 1991.</w:t>
      </w:r>
    </w:p>
  </w:footnote>
  <w:footnote w:id="14">
    <w:p w:rsidR="008A7065" w:rsidRDefault="008A7065" w:rsidP="008A7065">
      <w:pPr>
        <w:pStyle w:val="FootnoteText"/>
      </w:pPr>
      <w:r>
        <w:rPr>
          <w:rStyle w:val="FootnoteReference"/>
          <w:rFonts w:eastAsiaTheme="majorEastAsia"/>
        </w:rPr>
        <w:footnoteRef/>
      </w:r>
      <w:r>
        <w:t xml:space="preserve"> The analysis of the Committee of Experts submitted herein below is an interpretation of the provisions of Convention No.158 to which </w:t>
      </w:r>
      <w:smartTag w:uri="urn:schemas-microsoft-com:office:smarttags" w:element="country-region">
        <w:smartTag w:uri="urn:schemas-microsoft-com:office:smarttags" w:element="place">
          <w:r>
            <w:t>Ethiopia</w:t>
          </w:r>
        </w:smartTag>
      </w:smartTag>
      <w:r>
        <w:t xml:space="preserve"> is a party.</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8A7065"/>
    <w:rsid w:val="002E6C81"/>
    <w:rsid w:val="0057530F"/>
    <w:rsid w:val="008A7065"/>
    <w:rsid w:val="00A62736"/>
    <w:rsid w:val="00C010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06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57530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530F"/>
    <w:rPr>
      <w:rFonts w:asciiTheme="majorHAnsi" w:eastAsiaTheme="majorEastAsia" w:hAnsiTheme="majorHAnsi" w:cstheme="majorBidi"/>
      <w:i/>
      <w:iCs/>
      <w:color w:val="4F81BD" w:themeColor="accent1"/>
      <w:spacing w:val="15"/>
      <w:sz w:val="24"/>
      <w:szCs w:val="24"/>
    </w:rPr>
  </w:style>
  <w:style w:type="paragraph" w:styleId="FootnoteText">
    <w:name w:val="footnote text"/>
    <w:basedOn w:val="Normal"/>
    <w:link w:val="FootnoteTextChar"/>
    <w:semiHidden/>
    <w:rsid w:val="008A7065"/>
    <w:rPr>
      <w:sz w:val="20"/>
      <w:szCs w:val="20"/>
    </w:rPr>
  </w:style>
  <w:style w:type="character" w:customStyle="1" w:styleId="FootnoteTextChar">
    <w:name w:val="Footnote Text Char"/>
    <w:basedOn w:val="DefaultParagraphFont"/>
    <w:link w:val="FootnoteText"/>
    <w:semiHidden/>
    <w:rsid w:val="008A7065"/>
    <w:rPr>
      <w:rFonts w:ascii="Times New Roman" w:eastAsia="Times New Roman" w:hAnsi="Times New Roman" w:cs="Times New Roman"/>
      <w:sz w:val="20"/>
      <w:szCs w:val="20"/>
    </w:rPr>
  </w:style>
  <w:style w:type="character" w:styleId="FootnoteReference">
    <w:name w:val="footnote reference"/>
    <w:basedOn w:val="DefaultParagraphFont"/>
    <w:semiHidden/>
    <w:rsid w:val="008A7065"/>
    <w:rPr>
      <w:vertAlign w:val="superscript"/>
    </w:rPr>
  </w:style>
  <w:style w:type="paragraph" w:styleId="NormalWeb">
    <w:name w:val="Normal (Web)"/>
    <w:basedOn w:val="Normal"/>
    <w:rsid w:val="008A7065"/>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4367</Words>
  <Characters>24893</Characters>
  <Application>Microsoft Office Word</Application>
  <DocSecurity>0</DocSecurity>
  <Lines>207</Lines>
  <Paragraphs>58</Paragraphs>
  <ScaleCrop>false</ScaleCrop>
  <Company/>
  <LinksUpToDate>false</LinksUpToDate>
  <CharactersWithSpaces>29202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2017-04-14T17:46:00Z</dcterms:created>
  <dcterms:modified xsi:type="dcterms:W3CDTF">2017-04-14T17:46:00Z</dcterms:modified>
</cp:coreProperties>
</file>