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819"/>
        <w:gridCol w:w="4819"/>
      </w:tblGrid>
      <w:tr>
        <w:tc>
          <w:tcPr>
            <w:tcW w:type="dxa" w:w="2835"/>
          </w:tcPr>
          <w:p>
            <w:pPr>
              <w:jc w:val="center"/>
            </w:pPr>
            <w:r>
              <w:drawing>
                <wp:inline xmlns:a="http://schemas.openxmlformats.org/drawingml/2006/main" xmlns:pic="http://schemas.openxmlformats.org/drawingml/2006/picture">
                  <wp:extent cx="1512000" cy="632930"/>
                  <wp:docPr id="1" name="Picture 1"/>
                  <wp:cNvGraphicFramePr>
                    <a:graphicFrameLocks noChangeAspect="1"/>
                  </wp:cNvGraphicFramePr>
                  <a:graphic>
                    <a:graphicData uri="http://schemas.openxmlformats.org/drawingml/2006/picture">
                      <pic:pic>
                        <pic:nvPicPr>
                          <pic:cNvPr id="0" name="logo_afchem_sofaco.png"/>
                          <pic:cNvPicPr/>
                        </pic:nvPicPr>
                        <pic:blipFill>
                          <a:blip r:embed="rId9"/>
                          <a:stretch>
                            <a:fillRect/>
                          </a:stretch>
                        </pic:blipFill>
                        <pic:spPr>
                          <a:xfrm>
                            <a:off x="0" y="0"/>
                            <a:ext cx="1512000" cy="632930"/>
                          </a:xfrm>
                          <a:prstGeom prst="rect"/>
                        </pic:spPr>
                      </pic:pic>
                    </a:graphicData>
                  </a:graphic>
                </wp:inline>
              </w:drawing>
            </w:r>
          </w:p>
        </w:tc>
        <w:tc>
          <w:tcPr>
            <w:tcW w:type="dxa" w:w="6803"/>
          </w:tcPr>
          <w:p>
            <w:r>
              <w:rPr>
                <w:b/>
                <w:color w:val="1E6B34"/>
                <w:sz w:val="30"/>
              </w:rPr>
              <w:t>AF-CHEM SOFACO</w:t>
            </w:r>
          </w:p>
          <w:p>
            <w:r>
              <w:rPr>
                <w:i/>
                <w:color w:val="555555"/>
                <w:sz w:val="19"/>
              </w:rPr>
              <w:t>La référence du phytosanitaire en Côte d'Ivoire</w:t>
            </w:r>
          </w:p>
          <w:p>
            <w:r>
              <w:rPr>
                <w:sz w:val="18"/>
              </w:rPr>
              <w:t>Treichville, Angle Rue des Brasseurs – Zone 3 · 30 BP 674 Abidjan 30</w:t>
            </w:r>
          </w:p>
        </w:tc>
      </w:tr>
    </w:tbl>
    <w:p/>
    <w:p>
      <w:pPr>
        <w:jc w:val="center"/>
      </w:pPr>
      <w:r>
        <w:rPr>
          <w:b/>
          <w:color w:val="1E6B34"/>
          <w:sz w:val="40"/>
        </w:rPr>
        <w:t>CAHIER DES CHARGES</w:t>
      </w:r>
    </w:p>
    <w:p>
      <w:pPr>
        <w:jc w:val="center"/>
      </w:pPr>
      <w:r>
        <w:rPr>
          <w:b/>
          <w:sz w:val="26"/>
        </w:rPr>
        <w:t>PhytoTrace – Application web de gestion de la production,</w:t>
        <w:br/>
        <w:t>des stocks et de la traçabilité des lots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551"/>
          </w:tcPr>
          <w:p>
            <w:pPr>
              <w:spacing w:after="20"/>
            </w:pPr>
            <w:r/>
            <w:r>
              <w:rPr>
                <w:sz w:val="19"/>
              </w:rPr>
              <w:t>Projet</w:t>
            </w:r>
          </w:p>
        </w:tc>
        <w:tc>
          <w:tcPr>
            <w:tcW w:type="dxa" w:w="7087"/>
          </w:tcPr>
          <w:p>
            <w:pPr>
              <w:spacing w:after="20"/>
            </w:pPr>
            <w:r/>
            <w:r>
              <w:rPr>
                <w:sz w:val="19"/>
              </w:rPr>
              <w:t>Atelier du Génie Logiciel – Institut Ivoirien de Technologie</w:t>
            </w:r>
          </w:p>
        </w:tc>
      </w:tr>
      <w:tr>
        <w:tc>
          <w:tcPr>
            <w:tcW w:type="dxa" w:w="2551"/>
          </w:tcPr>
          <w:p>
            <w:pPr>
              <w:spacing w:after="20"/>
            </w:pPr>
            <w:r/>
            <w:r>
              <w:rPr>
                <w:sz w:val="19"/>
              </w:rPr>
              <w:t>Entreprise partenaire</w:t>
            </w:r>
          </w:p>
        </w:tc>
        <w:tc>
          <w:tcPr>
            <w:tcW w:type="dxa" w:w="7087"/>
          </w:tcPr>
          <w:p>
            <w:pPr>
              <w:spacing w:after="20"/>
            </w:pPr>
            <w:r/>
            <w:r>
              <w:rPr>
                <w:sz w:val="19"/>
              </w:rPr>
              <w:t>AF-CHEM SOFACO (SA au capital de 2 000 000 000 FCFA)</w:t>
            </w:r>
          </w:p>
        </w:tc>
      </w:tr>
      <w:tr>
        <w:tc>
          <w:tcPr>
            <w:tcW w:type="dxa" w:w="2551"/>
          </w:tcPr>
          <w:p>
            <w:pPr>
              <w:spacing w:after="20"/>
            </w:pPr>
            <w:r/>
            <w:r>
              <w:rPr>
                <w:sz w:val="19"/>
              </w:rPr>
              <w:t>Thème</w:t>
            </w:r>
          </w:p>
        </w:tc>
        <w:tc>
          <w:tcPr>
            <w:tcW w:type="dxa" w:w="7087"/>
          </w:tcPr>
          <w:p>
            <w:pPr>
              <w:spacing w:after="20"/>
            </w:pPr>
            <w:r/>
            <w:r>
              <w:rPr>
                <w:sz w:val="19"/>
              </w:rPr>
              <w:t>N°30 – Industrie chimique : formules, lots, production, stocks, fiches de sécurité, traçabilité</w:t>
            </w:r>
          </w:p>
        </w:tc>
      </w:tr>
      <w:tr>
        <w:tc>
          <w:tcPr>
            <w:tcW w:type="dxa" w:w="2551"/>
          </w:tcPr>
          <w:p>
            <w:pPr>
              <w:spacing w:after="20"/>
            </w:pPr>
            <w:r/>
            <w:r>
              <w:rPr>
                <w:sz w:val="19"/>
              </w:rPr>
              <w:t>Interlocuteur</w:t>
            </w:r>
          </w:p>
        </w:tc>
        <w:tc>
          <w:tcPr>
            <w:tcW w:type="dxa" w:w="7087"/>
          </w:tcPr>
          <w:p>
            <w:pPr>
              <w:spacing w:after="20"/>
            </w:pPr>
            <w:r/>
            <w:r>
              <w:rPr>
                <w:sz w:val="19"/>
              </w:rPr>
              <w:t>Service informatique AF-CHEM SOFACO</w:t>
            </w:r>
          </w:p>
        </w:tc>
      </w:tr>
    </w:tbl>
    <w:p>
      <w:pPr>
        <w:spacing w:after="40"/>
      </w:pPr>
    </w:p>
    <w:p>
      <w:pPr>
        <w:spacing w:before="200" w:after="80"/>
        <w:pBdr>
          <w:bottom w:val="single" w:sz="6" w:color="1E6B34"/>
        </w:pBdr>
      </w:pPr>
      <w:r>
        <w:rPr>
          <w:b/>
          <w:color w:val="1E6B34"/>
          <w:sz w:val="25"/>
        </w:rPr>
        <w:t>SOMMAIRE</w:t>
      </w:r>
    </w:p>
    <w:p>
      <w:pPr>
        <w:spacing w:after="20"/>
        <w:ind w:left="283"/>
      </w:pPr>
      <w:r>
        <w:t>1. Contexte</w:t>
      </w:r>
    </w:p>
    <w:p>
      <w:pPr>
        <w:spacing w:after="20"/>
        <w:ind w:left="283"/>
      </w:pPr>
      <w:r>
        <w:t>2. Objectifs et indicateurs de réussite</w:t>
      </w:r>
    </w:p>
    <w:p>
      <w:pPr>
        <w:spacing w:after="20"/>
        <w:ind w:left="283"/>
      </w:pPr>
      <w:r>
        <w:t>3. Périmètre du projet</w:t>
      </w:r>
    </w:p>
    <w:p>
      <w:pPr>
        <w:spacing w:after="20"/>
        <w:ind w:left="283"/>
      </w:pPr>
      <w:r>
        <w:t>4. Utilisateurs et rôles</w:t>
      </w:r>
    </w:p>
    <w:p>
      <w:pPr>
        <w:spacing w:after="20"/>
        <w:ind w:left="283"/>
      </w:pPr>
      <w:r>
        <w:t>5. Exigences fonctionnelles</w:t>
      </w:r>
    </w:p>
    <w:p>
      <w:pPr>
        <w:spacing w:after="20"/>
        <w:ind w:left="283"/>
      </w:pPr>
      <w:r>
        <w:t>6. Règles de gestion</w:t>
      </w:r>
    </w:p>
    <w:p>
      <w:pPr>
        <w:spacing w:after="20"/>
        <w:ind w:left="283"/>
      </w:pPr>
      <w:r>
        <w:t>7. Exigences non fonctionnelles</w:t>
      </w:r>
    </w:p>
    <w:p>
      <w:pPr>
        <w:spacing w:after="20"/>
        <w:ind w:left="283"/>
      </w:pPr>
      <w:r>
        <w:t>8. Contraintes techniques et architecture</w:t>
      </w:r>
    </w:p>
    <w:p>
      <w:pPr>
        <w:spacing w:after="20"/>
        <w:ind w:left="283"/>
      </w:pPr>
      <w:r>
        <w:t>9. Contraintes organisationnelles et planning</w:t>
      </w:r>
    </w:p>
    <w:p>
      <w:pPr>
        <w:spacing w:after="20"/>
        <w:ind w:left="283"/>
      </w:pPr>
      <w:r>
        <w:t>10. Livrables</w:t>
      </w:r>
    </w:p>
    <w:p>
      <w:pPr>
        <w:spacing w:after="20"/>
        <w:ind w:left="283"/>
      </w:pPr>
      <w:r>
        <w:t>11. Risques et parades</w:t>
      </w:r>
    </w:p>
    <w:p>
      <w:pPr>
        <w:spacing w:after="20"/>
        <w:ind w:left="283"/>
      </w:pPr>
      <w:r>
        <w:t>12. Critères de recette</w:t>
      </w:r>
    </w:p>
    <w:p>
      <w:pPr>
        <w:spacing w:after="20"/>
        <w:ind w:left="283"/>
      </w:pPr>
      <w:r>
        <w:t>13. Glossaire</w:t>
      </w:r>
    </w:p>
    <w:p>
      <w:pPr>
        <w:spacing w:after="20"/>
        <w:ind w:left="283"/>
      </w:pPr>
      <w:r>
        <w:t>14. Points à préciser avec l'entreprise</w:t>
      </w:r>
    </w:p>
    <w:p>
      <w:pPr>
        <w:spacing w:before="200" w:after="80"/>
        <w:pBdr>
          <w:bottom w:val="single" w:sz="6" w:color="1E6B34"/>
        </w:pBdr>
      </w:pPr>
      <w:r>
        <w:rPr>
          <w:b/>
          <w:color w:val="1E6B34"/>
          <w:sz w:val="25"/>
        </w:rPr>
        <w:t>1. CONTEXTE</w:t>
      </w:r>
    </w:p>
    <w:p>
      <w:pPr>
        <w:spacing w:before="120" w:after="40"/>
      </w:pPr>
      <w:r>
        <w:rPr>
          <w:b/>
          <w:sz w:val="22"/>
        </w:rPr>
        <w:t>1.1 L'entreprise</w:t>
      </w:r>
    </w:p>
    <w:p>
      <w:pPr>
        <w:jc w:val="both"/>
      </w:pPr>
      <w:r>
        <w:t>AF-CHEM SOFACO est une société anonyme ivoirienne spécialisée dans les produits agro-pharmaceutiques. Elle est née le 4 novembre 2008 de la fusion de SOFACO, créée en 1961 pour la fabrication industrielle de pesticides, et d'AFCHEM, créée en 2003 pour la distribution de pesticides et d'engrais. Son actionnaire majoritaire est le groupe SFP (84 %). Son siège est situé à Treichville (Zone 3), à Abidjan.</w:t>
      </w:r>
    </w:p>
    <w:p>
      <w:pPr>
        <w:jc w:val="both"/>
      </w:pPr>
      <w:r>
        <w:t>L'entreprise dispose d'une usine sous agrément UEMOA de formulation, conditionnement et reconditionnement de produits phytosanitaires, comprenant une usine d'insecticides (tanks de formulation d'environ 5 000 L), une usine d'herbicides (tanks d'environ 2 500 L), un laboratoire d'analyses qualité équipé de chromatographie en phase gazeuse et liquide, et un service Qualité-Hygiène-Sécurité-Environnement (QHSE). Ses gammes couvrent les insecticides, herbicides, fongicides, régulateurs de croissance, traitements de semences, engrais, biosolutions et produits d'hygiène publique, pour des cultures comme le coton, le cacao, l'anacarde, l'hévéa ou le riz.</w:t>
      </w:r>
    </w:p>
    <w:p>
      <w:pPr>
        <w:jc w:val="both"/>
      </w:pPr>
      <w:r>
        <w:t>AF-CHEM SOFACO est présente dans 18 localités en Côte d'Ivoire et dispose de filiales : SEAP-CI (San Pedro), AF-CHEM Mali (Bamako) et AF-CHEM Burkina Faso (Bobo-Dioulasso).</w:t>
      </w:r>
    </w:p>
    <w:p>
      <w:pPr>
        <w:spacing w:before="120" w:after="40"/>
      </w:pPr>
      <w:r>
        <w:rPr>
          <w:b/>
          <w:sz w:val="22"/>
        </w:rPr>
        <w:t>1.2 Existant et problématique</w:t>
      </w:r>
    </w:p>
    <w:p>
      <w:pPr>
        <w:jc w:val="both"/>
      </w:pPr>
      <w:r>
        <w:t>La fabrication d'un produit phytosanitaire enchaîne plusieurs étapes gérées par des services différents : définition de la formule, réception et stockage des matières actives et co-formulants, formulation en tank, contrôle par le laboratoire, conditionnement, stockage des produits finis puis expédition vers le réseau de distribution. Lorsque ces informations sont réparties entre registres papier, tableurs et échanges informels, plusieurs difficultés apparaissent :</w:t>
      </w:r>
    </w:p>
    <w:p>
      <w:pPr>
        <w:pStyle w:val="ListBullet"/>
        <w:spacing w:after="40"/>
      </w:pPr>
      <w:r>
        <w:t>retrouver rapidement, lors d'une réclamation ou d'un contrôle, les matières premières et les analyses liées à un lot vendu ;</w:t>
      </w:r>
    </w:p>
    <w:p>
      <w:pPr>
        <w:pStyle w:val="ListBullet"/>
        <w:spacing w:after="40"/>
      </w:pPr>
      <w:r>
        <w:t>garantir que chaque lot est fabriqué avec la bonne version de formule et les bonnes quantités ;</w:t>
      </w:r>
    </w:p>
    <w:p>
      <w:pPr>
        <w:pStyle w:val="ListBullet"/>
        <w:spacing w:after="40"/>
      </w:pPr>
      <w:r>
        <w:t>connaître le stock réel des matières actives, emballages et produits finis, et anticiper ruptures et péremptions ;</w:t>
      </w:r>
    </w:p>
    <w:p>
      <w:pPr>
        <w:pStyle w:val="ListBullet"/>
        <w:spacing w:after="40"/>
      </w:pPr>
      <w:r>
        <w:t>mettre à disposition des équipes des fiches de données de sécurité (FDS) à jour.</w:t>
      </w:r>
    </w:p>
    <w:p>
      <w:pPr>
        <w:jc w:val="both"/>
      </w:pPr>
      <w:r>
        <w:t>Les outils réellement utilisés par l'entreprise restent à confirmer (voir section 14).</w:t>
      </w:r>
    </w:p>
    <w:p>
      <w:pPr>
        <w:spacing w:before="200" w:after="80"/>
        <w:pBdr>
          <w:bottom w:val="single" w:sz="6" w:color="1E6B34"/>
        </w:pBdr>
      </w:pPr>
      <w:r>
        <w:rPr>
          <w:b/>
          <w:color w:val="1E6B34"/>
          <w:sz w:val="25"/>
        </w:rPr>
        <w:t>2. OBJECTIFS ET INDICATEURS DE RÉUSSITE</w:t>
      </w:r>
    </w:p>
    <w:p>
      <w:pPr>
        <w:jc w:val="both"/>
      </w:pPr>
      <w:r>
        <w:t>PhytoTrace doit centraliser dans une seule application web les formules, les lots de production, les résultats du contrôle qualité et les stocks, afin de retrouver rapidement l'historique complet de n'importe quel lot, de la matière première jusqu'au produit fini.</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551"/>
            <w:shd w:val="clear" w:color="auto" w:fill="1E6B34"/>
          </w:tcPr>
          <w:p>
            <w:pPr>
              <w:spacing w:after="20"/>
            </w:pPr>
            <w:r/>
            <w:r>
              <w:rPr>
                <w:b/>
                <w:color w:val="FFFFFF"/>
                <w:sz w:val="19"/>
              </w:rPr>
              <w:t>Objectif</w:t>
            </w:r>
          </w:p>
        </w:tc>
        <w:tc>
          <w:tcPr>
            <w:tcW w:type="dxa" w:w="7087"/>
            <w:shd w:val="clear" w:color="auto" w:fill="1E6B34"/>
          </w:tcPr>
          <w:p>
            <w:pPr>
              <w:spacing w:after="20"/>
            </w:pPr>
            <w:r/>
            <w:r>
              <w:rPr>
                <w:b/>
                <w:color w:val="FFFFFF"/>
                <w:sz w:val="19"/>
              </w:rPr>
              <w:t>Indicateur mesurable</w:t>
            </w:r>
          </w:p>
        </w:tc>
      </w:tr>
      <w:tr>
        <w:tc>
          <w:tcPr>
            <w:tcW w:type="dxa" w:w="2551"/>
          </w:tcPr>
          <w:p>
            <w:pPr>
              <w:spacing w:after="20"/>
            </w:pPr>
            <w:r/>
            <w:r>
              <w:rPr>
                <w:sz w:val="19"/>
              </w:rPr>
              <w:t>Tracer chaque lot</w:t>
            </w:r>
          </w:p>
        </w:tc>
        <w:tc>
          <w:tcPr>
            <w:tcW w:type="dxa" w:w="7087"/>
          </w:tcPr>
          <w:p>
            <w:pPr>
              <w:spacing w:after="20"/>
            </w:pPr>
            <w:r/>
            <w:r>
              <w:rPr>
                <w:sz w:val="19"/>
              </w:rPr>
              <w:t>L'historique complet d'un lot (formule, matières consommées, analyses) s'obtient en une recherche, en moins de 5 minutes</w:t>
            </w:r>
          </w:p>
        </w:tc>
      </w:tr>
      <w:tr>
        <w:tc>
          <w:tcPr>
            <w:tcW w:type="dxa" w:w="2551"/>
          </w:tcPr>
          <w:p>
            <w:pPr>
              <w:spacing w:after="20"/>
            </w:pPr>
            <w:r/>
            <w:r>
              <w:rPr>
                <w:sz w:val="19"/>
              </w:rPr>
              <w:t>Sécuriser la qualité</w:t>
            </w:r>
          </w:p>
        </w:tc>
        <w:tc>
          <w:tcPr>
            <w:tcW w:type="dxa" w:w="7087"/>
          </w:tcPr>
          <w:p>
            <w:pPr>
              <w:spacing w:after="20"/>
            </w:pPr>
            <w:r/>
            <w:r>
              <w:rPr>
                <w:sz w:val="19"/>
              </w:rPr>
              <w:t>Aucun lot ne peut passer au statut « libéré » sans résultat de contrôle conforme</w:t>
            </w:r>
          </w:p>
        </w:tc>
      </w:tr>
      <w:tr>
        <w:tc>
          <w:tcPr>
            <w:tcW w:type="dxa" w:w="2551"/>
          </w:tcPr>
          <w:p>
            <w:pPr>
              <w:spacing w:after="20"/>
            </w:pPr>
            <w:r/>
            <w:r>
              <w:rPr>
                <w:sz w:val="19"/>
              </w:rPr>
              <w:t>Maîtriser les stocks</w:t>
            </w:r>
          </w:p>
        </w:tc>
        <w:tc>
          <w:tcPr>
            <w:tcW w:type="dxa" w:w="7087"/>
          </w:tcPr>
          <w:p>
            <w:pPr>
              <w:spacing w:after="20"/>
            </w:pPr>
            <w:r/>
            <w:r>
              <w:rPr>
                <w:sz w:val="19"/>
              </w:rPr>
              <w:t>Le stock de chaque article est consultable en temps réel et mis à jour automatiquement à chaque production</w:t>
            </w:r>
          </w:p>
        </w:tc>
      </w:tr>
      <w:tr>
        <w:tc>
          <w:tcPr>
            <w:tcW w:type="dxa" w:w="2551"/>
          </w:tcPr>
          <w:p>
            <w:pPr>
              <w:spacing w:after="20"/>
            </w:pPr>
            <w:r/>
            <w:r>
              <w:rPr>
                <w:sz w:val="19"/>
              </w:rPr>
              <w:t>Fiabiliser les formules</w:t>
            </w:r>
          </w:p>
        </w:tc>
        <w:tc>
          <w:tcPr>
            <w:tcW w:type="dxa" w:w="7087"/>
          </w:tcPr>
          <w:p>
            <w:pPr>
              <w:spacing w:after="20"/>
            </w:pPr>
            <w:r/>
            <w:r>
              <w:rPr>
                <w:sz w:val="19"/>
              </w:rPr>
              <w:t>Chaque lot est rattaché à une version de formule validée et non modifiable</w:t>
            </w:r>
          </w:p>
        </w:tc>
      </w:tr>
    </w:tbl>
    <w:p>
      <w:pPr>
        <w:spacing w:after="40"/>
      </w:pPr>
    </w:p>
    <w:p>
      <w:pPr>
        <w:spacing w:before="200" w:after="80"/>
        <w:pBdr>
          <w:bottom w:val="single" w:sz="6" w:color="1E6B34"/>
        </w:pBdr>
      </w:pPr>
      <w:r>
        <w:rPr>
          <w:b/>
          <w:color w:val="1E6B34"/>
          <w:sz w:val="25"/>
        </w:rPr>
        <w:t>3. PÉRIMÈTRE DU PROJET</w:t>
      </w:r>
    </w:p>
    <w:p>
      <w:pPr>
        <w:jc w:val="both"/>
      </w:pPr>
      <w:r>
        <w:t>Pour rester réalisable dans le cadre d'un projet académique, PhytoTrace est volontairement limité à un cœur de métier : le cycle « formule → lot → contrôle qualité → stock → traçabilité » sur le site de production d'Abidjan. Le reste est découpé en évolutions possibles ou exclu.</w:t>
      </w:r>
    </w:p>
    <w:p>
      <w:pPr>
        <w:spacing w:before="120" w:after="40"/>
      </w:pPr>
      <w:r>
        <w:rPr>
          <w:b/>
          <w:sz w:val="22"/>
        </w:rPr>
        <w:t>3.1 Version 1 (MVP), réalisée dans le projet</w:t>
      </w:r>
    </w:p>
    <w:p>
      <w:pPr>
        <w:pStyle w:val="ListBullet"/>
        <w:spacing w:after="40"/>
      </w:pPr>
      <w:r>
        <w:t>authentification et gestion des rôles ;</w:t>
      </w:r>
    </w:p>
    <w:p>
      <w:pPr>
        <w:pStyle w:val="ListBullet"/>
        <w:spacing w:after="40"/>
      </w:pPr>
      <w:r>
        <w:t>gestion des articles (matières premières, emballages, produits finis) et des formules avec versions ;</w:t>
      </w:r>
    </w:p>
    <w:p>
      <w:pPr>
        <w:pStyle w:val="ListBullet"/>
        <w:spacing w:after="40"/>
      </w:pPr>
      <w:r>
        <w:t>création des lots de production et saisie des consommations ;</w:t>
      </w:r>
    </w:p>
    <w:p>
      <w:pPr>
        <w:pStyle w:val="ListBullet"/>
        <w:spacing w:after="40"/>
      </w:pPr>
      <w:r>
        <w:t>saisie des résultats du laboratoire et libération ou blocage des lots ;</w:t>
      </w:r>
    </w:p>
    <w:p>
      <w:pPr>
        <w:pStyle w:val="ListBullet"/>
        <w:spacing w:after="40"/>
      </w:pPr>
      <w:r>
        <w:t>mouvements de stock et stock en temps réel ;</w:t>
      </w:r>
    </w:p>
    <w:p>
      <w:pPr>
        <w:pStyle w:val="ListBullet"/>
        <w:spacing w:after="40"/>
      </w:pPr>
      <w:r>
        <w:t>recherche de traçabilité par numéro de lot.</w:t>
      </w:r>
    </w:p>
    <w:p>
      <w:pPr>
        <w:spacing w:before="120" w:after="40"/>
      </w:pPr>
      <w:r>
        <w:rPr>
          <w:b/>
          <w:sz w:val="22"/>
        </w:rPr>
        <w:t>3.2 Évolutions possibles, si le temps le permet</w:t>
      </w:r>
    </w:p>
    <w:p>
      <w:pPr>
        <w:pStyle w:val="ListBullet"/>
        <w:spacing w:after="40"/>
      </w:pPr>
      <w:r>
        <w:t>bibliothèque des fiches de données de sécurité, alertes, tableau de bord, exports PDF/Excel, QR code sur les étiquettes de lot.</w:t>
      </w:r>
    </w:p>
    <w:p>
      <w:pPr>
        <w:spacing w:before="120" w:after="40"/>
      </w:pPr>
      <w:r>
        <w:rPr>
          <w:b/>
          <w:sz w:val="22"/>
        </w:rPr>
        <w:t>3.3 Hors périmètre</w:t>
      </w:r>
    </w:p>
    <w:p>
      <w:pPr>
        <w:jc w:val="both"/>
      </w:pPr>
      <w:r>
        <w:t>La comptabilité et la paie, la facturation et la gestion commerciale, les achats auprès des fournisseurs, le réseau de distribution et les points de vente, la planification avancée de la production, le pilotage des équipements, la maintenance, les démarches d'homologation réglementaire, les filiales (Mali, Burkina Faso, SEAP-CI), la reprise des données historiques réelles et une application mobile native.</w:t>
      </w:r>
    </w:p>
    <w:p>
      <w:pPr>
        <w:spacing w:before="200" w:after="80"/>
        <w:pBdr>
          <w:bottom w:val="single" w:sz="6" w:color="1E6B34"/>
        </w:pBdr>
      </w:pPr>
      <w:r>
        <w:rPr>
          <w:b/>
          <w:color w:val="1E6B34"/>
          <w:sz w:val="25"/>
        </w:rPr>
        <w:t>4. UTILISATEURS ET RÔLES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3402"/>
            <w:shd w:val="clear" w:color="auto" w:fill="1E6B34"/>
          </w:tcPr>
          <w:p>
            <w:pPr>
              <w:spacing w:after="20"/>
            </w:pPr>
            <w:r/>
            <w:r>
              <w:rPr>
                <w:b/>
                <w:color w:val="FFFFFF"/>
                <w:sz w:val="19"/>
              </w:rPr>
              <w:t>Rôle</w:t>
            </w:r>
          </w:p>
        </w:tc>
        <w:tc>
          <w:tcPr>
            <w:tcW w:type="dxa" w:w="6236"/>
            <w:shd w:val="clear" w:color="auto" w:fill="1E6B34"/>
          </w:tcPr>
          <w:p>
            <w:pPr>
              <w:spacing w:after="20"/>
            </w:pPr>
            <w:r/>
            <w:r>
              <w:rPr>
                <w:b/>
                <w:color w:val="FFFFFF"/>
                <w:sz w:val="19"/>
              </w:rPr>
              <w:t>Utilisation principale</w:t>
            </w:r>
          </w:p>
        </w:tc>
      </w:tr>
      <w:tr>
        <w:tc>
          <w:tcPr>
            <w:tcW w:type="dxa" w:w="3402"/>
          </w:tcPr>
          <w:p>
            <w:pPr>
              <w:spacing w:after="20"/>
            </w:pPr>
            <w:r/>
            <w:r>
              <w:rPr>
                <w:sz w:val="19"/>
              </w:rPr>
              <w:t>Administrateur (service informatique)</w:t>
            </w:r>
          </w:p>
        </w:tc>
        <w:tc>
          <w:tcPr>
            <w:tcW w:type="dxa" w:w="6236"/>
          </w:tcPr>
          <w:p>
            <w:pPr>
              <w:spacing w:after="20"/>
            </w:pPr>
            <w:r/>
            <w:r>
              <w:rPr>
                <w:sz w:val="19"/>
              </w:rPr>
              <w:t>Gestion des comptes, des rôles et des paramètres</w:t>
            </w:r>
          </w:p>
        </w:tc>
      </w:tr>
      <w:tr>
        <w:tc>
          <w:tcPr>
            <w:tcW w:type="dxa" w:w="3402"/>
          </w:tcPr>
          <w:p>
            <w:pPr>
              <w:spacing w:after="20"/>
            </w:pPr>
            <w:r/>
            <w:r>
              <w:rPr>
                <w:sz w:val="19"/>
              </w:rPr>
              <w:t>Responsable de production</w:t>
            </w:r>
          </w:p>
        </w:tc>
        <w:tc>
          <w:tcPr>
            <w:tcW w:type="dxa" w:w="6236"/>
          </w:tcPr>
          <w:p>
            <w:pPr>
              <w:spacing w:after="20"/>
            </w:pPr>
            <w:r/>
            <w:r>
              <w:rPr>
                <w:sz w:val="19"/>
              </w:rPr>
              <w:t>Gestion des formules, création des lots, suivi de la production</w:t>
            </w:r>
          </w:p>
        </w:tc>
      </w:tr>
      <w:tr>
        <w:tc>
          <w:tcPr>
            <w:tcW w:type="dxa" w:w="3402"/>
          </w:tcPr>
          <w:p>
            <w:pPr>
              <w:spacing w:after="20"/>
            </w:pPr>
            <w:r/>
            <w:r>
              <w:rPr>
                <w:sz w:val="19"/>
              </w:rPr>
              <w:t>Opérateur de formulation</w:t>
            </w:r>
          </w:p>
        </w:tc>
        <w:tc>
          <w:tcPr>
            <w:tcW w:type="dxa" w:w="6236"/>
          </w:tcPr>
          <w:p>
            <w:pPr>
              <w:spacing w:after="20"/>
            </w:pPr>
            <w:r/>
            <w:r>
              <w:rPr>
                <w:sz w:val="19"/>
              </w:rPr>
              <w:t>Saisie des quantités réellement consommées et de l'avancement d'un lot</w:t>
            </w:r>
          </w:p>
        </w:tc>
      </w:tr>
      <w:tr>
        <w:tc>
          <w:tcPr>
            <w:tcW w:type="dxa" w:w="3402"/>
          </w:tcPr>
          <w:p>
            <w:pPr>
              <w:spacing w:after="20"/>
            </w:pPr>
            <w:r/>
            <w:r>
              <w:rPr>
                <w:sz w:val="19"/>
              </w:rPr>
              <w:t>Laboratoire / Responsable qualité</w:t>
            </w:r>
          </w:p>
        </w:tc>
        <w:tc>
          <w:tcPr>
            <w:tcW w:type="dxa" w:w="6236"/>
          </w:tcPr>
          <w:p>
            <w:pPr>
              <w:spacing w:after="20"/>
            </w:pPr>
            <w:r/>
            <w:r>
              <w:rPr>
                <w:sz w:val="19"/>
              </w:rPr>
              <w:t>Saisie des analyses, décision conforme ou non conforme, libération des lots</w:t>
            </w:r>
          </w:p>
        </w:tc>
      </w:tr>
      <w:tr>
        <w:tc>
          <w:tcPr>
            <w:tcW w:type="dxa" w:w="3402"/>
          </w:tcPr>
          <w:p>
            <w:pPr>
              <w:spacing w:after="20"/>
            </w:pPr>
            <w:r/>
            <w:r>
              <w:rPr>
                <w:sz w:val="19"/>
              </w:rPr>
              <w:t>Magasinier</w:t>
            </w:r>
          </w:p>
        </w:tc>
        <w:tc>
          <w:tcPr>
            <w:tcW w:type="dxa" w:w="6236"/>
          </w:tcPr>
          <w:p>
            <w:pPr>
              <w:spacing w:after="20"/>
            </w:pPr>
            <w:r/>
            <w:r>
              <w:rPr>
                <w:sz w:val="19"/>
              </w:rPr>
              <w:t>Entrées et sorties de stock, inventaires</w:t>
            </w:r>
          </w:p>
        </w:tc>
      </w:tr>
      <w:tr>
        <w:tc>
          <w:tcPr>
            <w:tcW w:type="dxa" w:w="3402"/>
          </w:tcPr>
          <w:p>
            <w:pPr>
              <w:spacing w:after="20"/>
            </w:pPr>
            <w:r/>
            <w:r>
              <w:rPr>
                <w:sz w:val="19"/>
              </w:rPr>
              <w:t>Direction</w:t>
            </w:r>
          </w:p>
        </w:tc>
        <w:tc>
          <w:tcPr>
            <w:tcW w:type="dxa" w:w="6236"/>
          </w:tcPr>
          <w:p>
            <w:pPr>
              <w:spacing w:after="20"/>
            </w:pPr>
            <w:r/>
            <w:r>
              <w:rPr>
                <w:sz w:val="19"/>
              </w:rPr>
              <w:t>Consultation (lecture seule) des lots, des stocks et de la traçabilité</w:t>
            </w:r>
          </w:p>
        </w:tc>
      </w:tr>
    </w:tbl>
    <w:p>
      <w:pPr>
        <w:spacing w:after="40"/>
      </w:pPr>
    </w:p>
    <w:p>
      <w:pPr>
        <w:spacing w:before="200" w:after="80"/>
        <w:pBdr>
          <w:bottom w:val="single" w:sz="6" w:color="1E6B34"/>
        </w:pBdr>
      </w:pPr>
      <w:r>
        <w:rPr>
          <w:b/>
          <w:color w:val="1E6B34"/>
          <w:sz w:val="25"/>
        </w:rPr>
        <w:t>5. EXIGENCES FONCTIONNELLES</w:t>
      </w:r>
    </w:p>
    <w:p>
      <w:pPr>
        <w:jc w:val="both"/>
      </w:pPr>
      <w:r>
        <w:t>Les priorités suivent la méthode MoSCoW : Must (indispensable à la version 1), Should (important, prévu si possible), Could (bonus), Won't (exclu de cette version).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213"/>
        <w:gridCol w:w="3213"/>
        <w:gridCol w:w="3213"/>
      </w:tblGrid>
      <w:tr>
        <w:tc>
          <w:tcPr>
            <w:tcW w:type="dxa" w:w="737"/>
            <w:shd w:val="clear" w:color="auto" w:fill="1E6B34"/>
          </w:tcPr>
          <w:p>
            <w:pPr>
              <w:spacing w:after="20"/>
            </w:pPr>
            <w:r/>
            <w:r>
              <w:rPr>
                <w:b/>
                <w:color w:val="FFFFFF"/>
                <w:sz w:val="19"/>
              </w:rPr>
              <w:t>N°</w:t>
            </w:r>
          </w:p>
        </w:tc>
        <w:tc>
          <w:tcPr>
            <w:tcW w:type="dxa" w:w="7483"/>
            <w:shd w:val="clear" w:color="auto" w:fill="1E6B34"/>
          </w:tcPr>
          <w:p>
            <w:pPr>
              <w:spacing w:after="20"/>
            </w:pPr>
            <w:r/>
            <w:r>
              <w:rPr>
                <w:b/>
                <w:color w:val="FFFFFF"/>
                <w:sz w:val="19"/>
              </w:rPr>
              <w:t>Exigence</w:t>
            </w:r>
          </w:p>
        </w:tc>
        <w:tc>
          <w:tcPr>
            <w:tcW w:type="dxa" w:w="1417"/>
            <w:shd w:val="clear" w:color="auto" w:fill="1E6B34"/>
          </w:tcPr>
          <w:p>
            <w:pPr>
              <w:spacing w:after="20"/>
            </w:pPr>
            <w:r/>
            <w:r>
              <w:rPr>
                <w:b/>
                <w:color w:val="FFFFFF"/>
                <w:sz w:val="19"/>
              </w:rPr>
              <w:t>Priorité</w:t>
            </w:r>
          </w:p>
        </w:tc>
      </w:tr>
      <w:tr>
        <w:tc>
          <w:tcPr>
            <w:tcW w:type="dxa" w:w="737"/>
          </w:tcPr>
          <w:p>
            <w:pPr>
              <w:spacing w:after="20"/>
            </w:pPr>
            <w:r/>
            <w:r>
              <w:rPr>
                <w:sz w:val="19"/>
              </w:rPr>
              <w:t>EF1</w:t>
            </w:r>
          </w:p>
        </w:tc>
        <w:tc>
          <w:tcPr>
            <w:tcW w:type="dxa" w:w="7483"/>
          </w:tcPr>
          <w:p>
            <w:pPr>
              <w:spacing w:after="20"/>
            </w:pPr>
            <w:r/>
            <w:r>
              <w:rPr>
                <w:sz w:val="19"/>
              </w:rPr>
              <w:t>Se connecter avec un identifiant et un mot de passe ; chaque utilisateur n'accède qu'aux écrans de son rôle</w:t>
            </w:r>
          </w:p>
        </w:tc>
        <w:tc>
          <w:tcPr>
            <w:tcW w:type="dxa" w:w="1417"/>
          </w:tcPr>
          <w:p>
            <w:pPr>
              <w:spacing w:after="20"/>
            </w:pPr>
            <w:r/>
            <w:r>
              <w:rPr>
                <w:sz w:val="19"/>
              </w:rPr>
              <w:t>Must</w:t>
            </w:r>
          </w:p>
        </w:tc>
      </w:tr>
      <w:tr>
        <w:tc>
          <w:tcPr>
            <w:tcW w:type="dxa" w:w="737"/>
          </w:tcPr>
          <w:p>
            <w:pPr>
              <w:spacing w:after="20"/>
            </w:pPr>
            <w:r/>
            <w:r>
              <w:rPr>
                <w:sz w:val="19"/>
              </w:rPr>
              <w:t>EF2</w:t>
            </w:r>
          </w:p>
        </w:tc>
        <w:tc>
          <w:tcPr>
            <w:tcW w:type="dxa" w:w="7483"/>
          </w:tcPr>
          <w:p>
            <w:pPr>
              <w:spacing w:after="20"/>
            </w:pPr>
            <w:r/>
            <w:r>
              <w:rPr>
                <w:sz w:val="19"/>
              </w:rPr>
              <w:t>Gérer les articles : matières actives, co-formulants, emballages, produits finis (code, libellé, unité, stock minimum)</w:t>
            </w:r>
          </w:p>
        </w:tc>
        <w:tc>
          <w:tcPr>
            <w:tcW w:type="dxa" w:w="1417"/>
          </w:tcPr>
          <w:p>
            <w:pPr>
              <w:spacing w:after="20"/>
            </w:pPr>
            <w:r/>
            <w:r>
              <w:rPr>
                <w:sz w:val="19"/>
              </w:rPr>
              <w:t>Must</w:t>
            </w:r>
          </w:p>
        </w:tc>
      </w:tr>
      <w:tr>
        <w:tc>
          <w:tcPr>
            <w:tcW w:type="dxa" w:w="737"/>
          </w:tcPr>
          <w:p>
            <w:pPr>
              <w:spacing w:after="20"/>
            </w:pPr>
            <w:r/>
            <w:r>
              <w:rPr>
                <w:sz w:val="19"/>
              </w:rPr>
              <w:t>EF3</w:t>
            </w:r>
          </w:p>
        </w:tc>
        <w:tc>
          <w:tcPr>
            <w:tcW w:type="dxa" w:w="7483"/>
          </w:tcPr>
          <w:p>
            <w:pPr>
              <w:spacing w:after="20"/>
            </w:pPr>
            <w:r/>
            <w:r>
              <w:rPr>
                <w:sz w:val="19"/>
              </w:rPr>
              <w:t>Gérer les formules : composition en pourcentage, mode opératoire, versions successives, validation par le responsable</w:t>
            </w:r>
          </w:p>
        </w:tc>
        <w:tc>
          <w:tcPr>
            <w:tcW w:type="dxa" w:w="1417"/>
          </w:tcPr>
          <w:p>
            <w:pPr>
              <w:spacing w:after="20"/>
            </w:pPr>
            <w:r/>
            <w:r>
              <w:rPr>
                <w:sz w:val="19"/>
              </w:rPr>
              <w:t>Must</w:t>
            </w:r>
          </w:p>
        </w:tc>
      </w:tr>
      <w:tr>
        <w:tc>
          <w:tcPr>
            <w:tcW w:type="dxa" w:w="737"/>
          </w:tcPr>
          <w:p>
            <w:pPr>
              <w:spacing w:after="20"/>
            </w:pPr>
            <w:r/>
            <w:r>
              <w:rPr>
                <w:sz w:val="19"/>
              </w:rPr>
              <w:t>EF4</w:t>
            </w:r>
          </w:p>
        </w:tc>
        <w:tc>
          <w:tcPr>
            <w:tcW w:type="dxa" w:w="7483"/>
          </w:tcPr>
          <w:p>
            <w:pPr>
              <w:spacing w:after="20"/>
            </w:pPr>
            <w:r/>
            <w:r>
              <w:rPr>
                <w:sz w:val="19"/>
              </w:rPr>
              <w:t>Créer un lot de production : n° de lot automatique, produit, version de formule, tank, quantité prévue, opérateur</w:t>
            </w:r>
          </w:p>
        </w:tc>
        <w:tc>
          <w:tcPr>
            <w:tcW w:type="dxa" w:w="1417"/>
          </w:tcPr>
          <w:p>
            <w:pPr>
              <w:spacing w:after="20"/>
            </w:pPr>
            <w:r/>
            <w:r>
              <w:rPr>
                <w:sz w:val="19"/>
              </w:rPr>
              <w:t>Must</w:t>
            </w:r>
          </w:p>
        </w:tc>
      </w:tr>
      <w:tr>
        <w:tc>
          <w:tcPr>
            <w:tcW w:type="dxa" w:w="737"/>
          </w:tcPr>
          <w:p>
            <w:pPr>
              <w:spacing w:after="20"/>
            </w:pPr>
            <w:r/>
            <w:r>
              <w:rPr>
                <w:sz w:val="19"/>
              </w:rPr>
              <w:t>EF5</w:t>
            </w:r>
          </w:p>
        </w:tc>
        <w:tc>
          <w:tcPr>
            <w:tcW w:type="dxa" w:w="7483"/>
          </w:tcPr>
          <w:p>
            <w:pPr>
              <w:spacing w:after="20"/>
            </w:pPr>
            <w:r/>
            <w:r>
              <w:rPr>
                <w:sz w:val="19"/>
              </w:rPr>
              <w:t>Saisir les consommations réelles d'un lot en indiquant les lots de matières premières utilisés</w:t>
            </w:r>
          </w:p>
        </w:tc>
        <w:tc>
          <w:tcPr>
            <w:tcW w:type="dxa" w:w="1417"/>
          </w:tcPr>
          <w:p>
            <w:pPr>
              <w:spacing w:after="20"/>
            </w:pPr>
            <w:r/>
            <w:r>
              <w:rPr>
                <w:sz w:val="19"/>
              </w:rPr>
              <w:t>Must</w:t>
            </w:r>
          </w:p>
        </w:tc>
      </w:tr>
      <w:tr>
        <w:tc>
          <w:tcPr>
            <w:tcW w:type="dxa" w:w="737"/>
          </w:tcPr>
          <w:p>
            <w:pPr>
              <w:spacing w:after="20"/>
            </w:pPr>
            <w:r/>
            <w:r>
              <w:rPr>
                <w:sz w:val="19"/>
              </w:rPr>
              <w:t>EF6</w:t>
            </w:r>
          </w:p>
        </w:tc>
        <w:tc>
          <w:tcPr>
            <w:tcW w:type="dxa" w:w="7483"/>
          </w:tcPr>
          <w:p>
            <w:pPr>
              <w:spacing w:after="20"/>
            </w:pPr>
            <w:r/>
            <w:r>
              <w:rPr>
                <w:sz w:val="19"/>
              </w:rPr>
              <w:t>Saisir les résultats d'analyse d'un lot et décider : libéré, bloqué ou rejeté</w:t>
            </w:r>
          </w:p>
        </w:tc>
        <w:tc>
          <w:tcPr>
            <w:tcW w:type="dxa" w:w="1417"/>
          </w:tcPr>
          <w:p>
            <w:pPr>
              <w:spacing w:after="20"/>
            </w:pPr>
            <w:r/>
            <w:r>
              <w:rPr>
                <w:sz w:val="19"/>
              </w:rPr>
              <w:t>Must</w:t>
            </w:r>
          </w:p>
        </w:tc>
      </w:tr>
      <w:tr>
        <w:tc>
          <w:tcPr>
            <w:tcW w:type="dxa" w:w="737"/>
          </w:tcPr>
          <w:p>
            <w:pPr>
              <w:spacing w:after="20"/>
            </w:pPr>
            <w:r/>
            <w:r>
              <w:rPr>
                <w:sz w:val="19"/>
              </w:rPr>
              <w:t>EF7</w:t>
            </w:r>
          </w:p>
        </w:tc>
        <w:tc>
          <w:tcPr>
            <w:tcW w:type="dxa" w:w="7483"/>
          </w:tcPr>
          <w:p>
            <w:pPr>
              <w:spacing w:after="20"/>
            </w:pPr>
            <w:r/>
            <w:r>
              <w:rPr>
                <w:sz w:val="19"/>
              </w:rPr>
              <w:t>Enregistrer les entrées (réceptions) et sorties de stock ; consulter le stock en temps réel par article et par lot</w:t>
            </w:r>
          </w:p>
        </w:tc>
        <w:tc>
          <w:tcPr>
            <w:tcW w:type="dxa" w:w="1417"/>
          </w:tcPr>
          <w:p>
            <w:pPr>
              <w:spacing w:after="20"/>
            </w:pPr>
            <w:r/>
            <w:r>
              <w:rPr>
                <w:sz w:val="19"/>
              </w:rPr>
              <w:t>Must</w:t>
            </w:r>
          </w:p>
        </w:tc>
      </w:tr>
      <w:tr>
        <w:tc>
          <w:tcPr>
            <w:tcW w:type="dxa" w:w="737"/>
          </w:tcPr>
          <w:p>
            <w:pPr>
              <w:spacing w:after="20"/>
            </w:pPr>
            <w:r/>
            <w:r>
              <w:rPr>
                <w:sz w:val="19"/>
              </w:rPr>
              <w:t>EF8</w:t>
            </w:r>
          </w:p>
        </w:tc>
        <w:tc>
          <w:tcPr>
            <w:tcW w:type="dxa" w:w="7483"/>
          </w:tcPr>
          <w:p>
            <w:pPr>
              <w:spacing w:after="20"/>
            </w:pPr>
            <w:r/>
            <w:r>
              <w:rPr>
                <w:sz w:val="19"/>
              </w:rPr>
              <w:t>Rechercher un lot et afficher sa traçabilité descendante (matière → produits finis) et ascendante (produit fini → matières)</w:t>
            </w:r>
          </w:p>
        </w:tc>
        <w:tc>
          <w:tcPr>
            <w:tcW w:type="dxa" w:w="1417"/>
          </w:tcPr>
          <w:p>
            <w:pPr>
              <w:spacing w:after="20"/>
            </w:pPr>
            <w:r/>
            <w:r>
              <w:rPr>
                <w:sz w:val="19"/>
              </w:rPr>
              <w:t>Must</w:t>
            </w:r>
          </w:p>
        </w:tc>
      </w:tr>
      <w:tr>
        <w:tc>
          <w:tcPr>
            <w:tcW w:type="dxa" w:w="737"/>
          </w:tcPr>
          <w:p>
            <w:pPr>
              <w:spacing w:after="20"/>
            </w:pPr>
            <w:r/>
            <w:r>
              <w:rPr>
                <w:sz w:val="19"/>
              </w:rPr>
              <w:t>EF9</w:t>
            </w:r>
          </w:p>
        </w:tc>
        <w:tc>
          <w:tcPr>
            <w:tcW w:type="dxa" w:w="7483"/>
          </w:tcPr>
          <w:p>
            <w:pPr>
              <w:spacing w:after="20"/>
            </w:pPr>
            <w:r/>
            <w:r>
              <w:rPr>
                <w:sz w:val="19"/>
              </w:rPr>
              <w:t>Consulter l'historique des actions (qui a fait quoi et quand)</w:t>
            </w:r>
          </w:p>
        </w:tc>
        <w:tc>
          <w:tcPr>
            <w:tcW w:type="dxa" w:w="1417"/>
          </w:tcPr>
          <w:p>
            <w:pPr>
              <w:spacing w:after="20"/>
            </w:pPr>
            <w:r/>
            <w:r>
              <w:rPr>
                <w:sz w:val="19"/>
              </w:rPr>
              <w:t>Should</w:t>
            </w:r>
          </w:p>
        </w:tc>
      </w:tr>
      <w:tr>
        <w:tc>
          <w:tcPr>
            <w:tcW w:type="dxa" w:w="737"/>
          </w:tcPr>
          <w:p>
            <w:pPr>
              <w:spacing w:after="20"/>
            </w:pPr>
            <w:r/>
            <w:r>
              <w:rPr>
                <w:sz w:val="19"/>
              </w:rPr>
              <w:t>EF10</w:t>
            </w:r>
          </w:p>
        </w:tc>
        <w:tc>
          <w:tcPr>
            <w:tcW w:type="dxa" w:w="7483"/>
          </w:tcPr>
          <w:p>
            <w:pPr>
              <w:spacing w:after="20"/>
            </w:pPr>
            <w:r/>
            <w:r>
              <w:rPr>
                <w:sz w:val="19"/>
              </w:rPr>
              <w:t>Associer à chaque produit sa fiche de données de sécurité (PDF) avec versions</w:t>
            </w:r>
          </w:p>
        </w:tc>
        <w:tc>
          <w:tcPr>
            <w:tcW w:type="dxa" w:w="1417"/>
          </w:tcPr>
          <w:p>
            <w:pPr>
              <w:spacing w:after="20"/>
            </w:pPr>
            <w:r/>
            <w:r>
              <w:rPr>
                <w:sz w:val="19"/>
              </w:rPr>
              <w:t>Should</w:t>
            </w:r>
          </w:p>
        </w:tc>
      </w:tr>
      <w:tr>
        <w:tc>
          <w:tcPr>
            <w:tcW w:type="dxa" w:w="737"/>
          </w:tcPr>
          <w:p>
            <w:pPr>
              <w:spacing w:after="20"/>
            </w:pPr>
            <w:r/>
            <w:r>
              <w:rPr>
                <w:sz w:val="19"/>
              </w:rPr>
              <w:t>EF11</w:t>
            </w:r>
          </w:p>
        </w:tc>
        <w:tc>
          <w:tcPr>
            <w:tcW w:type="dxa" w:w="7483"/>
          </w:tcPr>
          <w:p>
            <w:pPr>
              <w:spacing w:after="20"/>
            </w:pPr>
            <w:r/>
            <w:r>
              <w:rPr>
                <w:sz w:val="19"/>
              </w:rPr>
              <w:t>Recevoir des alertes : stock sous le minimum, péremption proche, lot bloqué</w:t>
            </w:r>
          </w:p>
        </w:tc>
        <w:tc>
          <w:tcPr>
            <w:tcW w:type="dxa" w:w="1417"/>
          </w:tcPr>
          <w:p>
            <w:pPr>
              <w:spacing w:after="20"/>
            </w:pPr>
            <w:r/>
            <w:r>
              <w:rPr>
                <w:sz w:val="19"/>
              </w:rPr>
              <w:t>Should</w:t>
            </w:r>
          </w:p>
        </w:tc>
      </w:tr>
      <w:tr>
        <w:tc>
          <w:tcPr>
            <w:tcW w:type="dxa" w:w="737"/>
          </w:tcPr>
          <w:p>
            <w:pPr>
              <w:spacing w:after="20"/>
            </w:pPr>
            <w:r/>
            <w:r>
              <w:rPr>
                <w:sz w:val="19"/>
              </w:rPr>
              <w:t>EF12</w:t>
            </w:r>
          </w:p>
        </w:tc>
        <w:tc>
          <w:tcPr>
            <w:tcW w:type="dxa" w:w="7483"/>
          </w:tcPr>
          <w:p>
            <w:pPr>
              <w:spacing w:after="20"/>
            </w:pPr>
            <w:r/>
            <w:r>
              <w:rPr>
                <w:sz w:val="19"/>
              </w:rPr>
              <w:t>Tableau de bord : lots produits par période, taux de conformité, état du stock</w:t>
            </w:r>
          </w:p>
        </w:tc>
        <w:tc>
          <w:tcPr>
            <w:tcW w:type="dxa" w:w="1417"/>
          </w:tcPr>
          <w:p>
            <w:pPr>
              <w:spacing w:after="20"/>
            </w:pPr>
            <w:r/>
            <w:r>
              <w:rPr>
                <w:sz w:val="19"/>
              </w:rPr>
              <w:t>Could</w:t>
            </w:r>
          </w:p>
        </w:tc>
      </w:tr>
      <w:tr>
        <w:tc>
          <w:tcPr>
            <w:tcW w:type="dxa" w:w="737"/>
          </w:tcPr>
          <w:p>
            <w:pPr>
              <w:spacing w:after="20"/>
            </w:pPr>
            <w:r/>
            <w:r>
              <w:rPr>
                <w:sz w:val="19"/>
              </w:rPr>
              <w:t>EF13</w:t>
            </w:r>
          </w:p>
        </w:tc>
        <w:tc>
          <w:tcPr>
            <w:tcW w:type="dxa" w:w="7483"/>
          </w:tcPr>
          <w:p>
            <w:pPr>
              <w:spacing w:after="20"/>
            </w:pPr>
            <w:r/>
            <w:r>
              <w:rPr>
                <w:sz w:val="19"/>
              </w:rPr>
              <w:t>Exporter une fiche de lot ou un état de stock en PDF / Excel ; imprimer une étiquette de lot avec QR code</w:t>
            </w:r>
          </w:p>
        </w:tc>
        <w:tc>
          <w:tcPr>
            <w:tcW w:type="dxa" w:w="1417"/>
          </w:tcPr>
          <w:p>
            <w:pPr>
              <w:spacing w:after="20"/>
            </w:pPr>
            <w:r/>
            <w:r>
              <w:rPr>
                <w:sz w:val="19"/>
              </w:rPr>
              <w:t>Could</w:t>
            </w:r>
          </w:p>
        </w:tc>
      </w:tr>
      <w:tr>
        <w:tc>
          <w:tcPr>
            <w:tcW w:type="dxa" w:w="737"/>
          </w:tcPr>
          <w:p>
            <w:pPr>
              <w:spacing w:after="20"/>
            </w:pPr>
            <w:r/>
            <w:r>
              <w:rPr>
                <w:sz w:val="19"/>
              </w:rPr>
              <w:t>EF14</w:t>
            </w:r>
          </w:p>
        </w:tc>
        <w:tc>
          <w:tcPr>
            <w:tcW w:type="dxa" w:w="7483"/>
          </w:tcPr>
          <w:p>
            <w:pPr>
              <w:spacing w:after="20"/>
            </w:pPr>
            <w:r/>
            <w:r>
              <w:rPr>
                <w:sz w:val="19"/>
              </w:rPr>
              <w:t>Gestion multi-sites des filiales, suivi des homologations</w:t>
            </w:r>
          </w:p>
        </w:tc>
        <w:tc>
          <w:tcPr>
            <w:tcW w:type="dxa" w:w="1417"/>
          </w:tcPr>
          <w:p>
            <w:pPr>
              <w:spacing w:after="20"/>
            </w:pPr>
            <w:r/>
            <w:r>
              <w:rPr>
                <w:sz w:val="19"/>
              </w:rPr>
              <w:t>Won't</w:t>
            </w:r>
          </w:p>
        </w:tc>
      </w:tr>
    </w:tbl>
    <w:p>
      <w:pPr>
        <w:spacing w:after="40"/>
      </w:pPr>
    </w:p>
    <w:p>
      <w:pPr>
        <w:spacing w:before="200" w:after="80"/>
        <w:pBdr>
          <w:bottom w:val="single" w:sz="6" w:color="1E6B34"/>
        </w:pBdr>
      </w:pPr>
      <w:r>
        <w:rPr>
          <w:b/>
          <w:color w:val="1E6B34"/>
          <w:sz w:val="25"/>
        </w:rPr>
        <w:t>6. RÈGLES DE GESTION</w:t>
      </w:r>
    </w:p>
    <w:p>
      <w:pPr>
        <w:pStyle w:val="ListBullet"/>
        <w:spacing w:after="40"/>
      </w:pPr>
      <w:r>
        <w:rPr>
          <w:b/>
        </w:rPr>
        <w:t xml:space="preserve">RG1 – </w:t>
      </w:r>
      <w:r>
        <w:t>le numéro de lot est unique et généré automatiquement (format proposé : code produit + année + numéro d'ordre, à confirmer) ;</w:t>
      </w:r>
    </w:p>
    <w:p>
      <w:pPr>
        <w:pStyle w:val="ListBullet"/>
        <w:spacing w:after="40"/>
      </w:pPr>
      <w:r>
        <w:rPr>
          <w:b/>
        </w:rPr>
        <w:t xml:space="preserve">RG2 – </w:t>
      </w:r>
      <w:r>
        <w:t>la somme des pourcentages d'une formule est égale à 100 % ;</w:t>
      </w:r>
    </w:p>
    <w:p>
      <w:pPr>
        <w:pStyle w:val="ListBullet"/>
        <w:spacing w:after="40"/>
      </w:pPr>
      <w:r>
        <w:rPr>
          <w:b/>
        </w:rPr>
        <w:t xml:space="preserve">RG3 – </w:t>
      </w:r>
      <w:r>
        <w:t>une version de formule validée ne peut plus être modifiée : toute modification crée une nouvelle version ;</w:t>
      </w:r>
    </w:p>
    <w:p>
      <w:pPr>
        <w:pStyle w:val="ListBullet"/>
        <w:spacing w:after="40"/>
      </w:pPr>
      <w:r>
        <w:rPr>
          <w:b/>
        </w:rPr>
        <w:t xml:space="preserve">RG4 – </w:t>
      </w:r>
      <w:r>
        <w:t>un lot ne peut être créé qu'à partir d'une version de formule validée ;</w:t>
      </w:r>
    </w:p>
    <w:p>
      <w:pPr>
        <w:pStyle w:val="ListBullet"/>
        <w:spacing w:after="40"/>
      </w:pPr>
      <w:r>
        <w:rPr>
          <w:b/>
        </w:rPr>
        <w:t xml:space="preserve">RG5 – </w:t>
      </w:r>
      <w:r>
        <w:t>la saisie des consommations d'un lot diminue automatiquement le stock des matières utilisées ; un stock ne peut pas devenir négatif ;</w:t>
      </w:r>
    </w:p>
    <w:p>
      <w:pPr>
        <w:pStyle w:val="ListBullet"/>
        <w:spacing w:after="40"/>
      </w:pPr>
      <w:r>
        <w:rPr>
          <w:b/>
        </w:rPr>
        <w:t xml:space="preserve">RG6 – </w:t>
      </w:r>
      <w:r>
        <w:t>les sorties de matières suivent la règle FEFO (premier périmé, premier sorti) ; une matière périmée ne peut pas être consommée ;</w:t>
      </w:r>
    </w:p>
    <w:p>
      <w:pPr>
        <w:pStyle w:val="ListBullet"/>
        <w:spacing w:after="40"/>
      </w:pPr>
      <w:r>
        <w:rPr>
          <w:b/>
        </w:rPr>
        <w:t xml:space="preserve">RG7 – </w:t>
      </w:r>
      <w:r>
        <w:t>un lot entre en stock de produits finis uniquement lorsqu'il est libéré par le laboratoire ;</w:t>
      </w:r>
    </w:p>
    <w:p>
      <w:pPr>
        <w:pStyle w:val="ListBullet"/>
        <w:spacing w:after="40"/>
      </w:pPr>
      <w:r>
        <w:rPr>
          <w:b/>
        </w:rPr>
        <w:t xml:space="preserve">RG8 – </w:t>
      </w:r>
      <w:r>
        <w:t>seul un utilisateur du rôle Laboratoire / Qualité peut libérer, bloquer ou rejeter un lot ;</w:t>
      </w:r>
    </w:p>
    <w:p>
      <w:pPr>
        <w:pStyle w:val="ListBullet"/>
        <w:spacing w:after="40"/>
      </w:pPr>
      <w:r>
        <w:rPr>
          <w:b/>
        </w:rPr>
        <w:t xml:space="preserve">RG9 – </w:t>
      </w:r>
      <w:r>
        <w:t>aucune donnée de lot, d'analyse ou de mouvement n'est supprimée : elle peut seulement être annulée, avec justification.</w:t>
      </w:r>
    </w:p>
    <w:p>
      <w:pPr>
        <w:spacing w:before="200" w:after="80"/>
        <w:pBdr>
          <w:bottom w:val="single" w:sz="6" w:color="1E6B34"/>
        </w:pBdr>
      </w:pPr>
      <w:r>
        <w:rPr>
          <w:b/>
          <w:color w:val="1E6B34"/>
          <w:sz w:val="25"/>
        </w:rPr>
        <w:t>7. EXIGENCES NON FONCTIONNELLES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154"/>
            <w:shd w:val="clear" w:color="auto" w:fill="1E6B34"/>
          </w:tcPr>
          <w:p>
            <w:pPr>
              <w:spacing w:after="20"/>
            </w:pPr>
            <w:r/>
            <w:r>
              <w:rPr>
                <w:b/>
                <w:color w:val="FFFFFF"/>
                <w:sz w:val="19"/>
              </w:rPr>
              <w:t>Catégorie</w:t>
            </w:r>
          </w:p>
        </w:tc>
        <w:tc>
          <w:tcPr>
            <w:tcW w:type="dxa" w:w="7483"/>
            <w:shd w:val="clear" w:color="auto" w:fill="1E6B34"/>
          </w:tcPr>
          <w:p>
            <w:pPr>
              <w:spacing w:after="20"/>
            </w:pPr>
            <w:r/>
            <w:r>
              <w:rPr>
                <w:b/>
                <w:color w:val="FFFFFF"/>
                <w:sz w:val="19"/>
              </w:rPr>
              <w:t>Exigence</w:t>
            </w:r>
          </w:p>
        </w:tc>
      </w:tr>
      <w:tr>
        <w:tc>
          <w:tcPr>
            <w:tcW w:type="dxa" w:w="2154"/>
          </w:tcPr>
          <w:p>
            <w:pPr>
              <w:spacing w:after="20"/>
            </w:pPr>
            <w:r/>
            <w:r>
              <w:rPr>
                <w:sz w:val="19"/>
              </w:rPr>
              <w:t>Ergonomie</w:t>
            </w:r>
          </w:p>
        </w:tc>
        <w:tc>
          <w:tcPr>
            <w:tcW w:type="dxa" w:w="7483"/>
          </w:tcPr>
          <w:p>
            <w:pPr>
              <w:spacing w:after="20"/>
            </w:pPr>
            <w:r/>
            <w:r>
              <w:rPr>
                <w:sz w:val="19"/>
              </w:rPr>
              <w:t>Interface en français, simple, utilisable sur ordinateur et sur tablette (responsive) ; une action courante en 3 clics maximum</w:t>
            </w:r>
          </w:p>
        </w:tc>
      </w:tr>
      <w:tr>
        <w:tc>
          <w:tcPr>
            <w:tcW w:type="dxa" w:w="2154"/>
          </w:tcPr>
          <w:p>
            <w:pPr>
              <w:spacing w:after="20"/>
            </w:pPr>
            <w:r/>
            <w:r>
              <w:rPr>
                <w:sz w:val="19"/>
              </w:rPr>
              <w:t>Performance</w:t>
            </w:r>
          </w:p>
        </w:tc>
        <w:tc>
          <w:tcPr>
            <w:tcW w:type="dxa" w:w="7483"/>
          </w:tcPr>
          <w:p>
            <w:pPr>
              <w:spacing w:after="20"/>
            </w:pPr>
            <w:r/>
            <w:r>
              <w:rPr>
                <w:sz w:val="19"/>
              </w:rPr>
              <w:t>Affichage d'une page ou d'un résultat de recherche en moins de 2 secondes pour 50 utilisateurs simultanés</w:t>
            </w:r>
          </w:p>
        </w:tc>
      </w:tr>
      <w:tr>
        <w:tc>
          <w:tcPr>
            <w:tcW w:type="dxa" w:w="2154"/>
          </w:tcPr>
          <w:p>
            <w:pPr>
              <w:spacing w:after="20"/>
            </w:pPr>
            <w:r/>
            <w:r>
              <w:rPr>
                <w:sz w:val="19"/>
              </w:rPr>
              <w:t>Sécurité</w:t>
            </w:r>
          </w:p>
        </w:tc>
        <w:tc>
          <w:tcPr>
            <w:tcW w:type="dxa" w:w="7483"/>
          </w:tcPr>
          <w:p>
            <w:pPr>
              <w:spacing w:after="20"/>
            </w:pPr>
            <w:r/>
            <w:r>
              <w:rPr>
                <w:sz w:val="19"/>
              </w:rPr>
              <w:t>Mots de passe chiffrés, droits par rôle, protection contre les attaques courantes (CSRF, injection SQL, XSS), accès restreint aux formules, session expirée après inactivité</w:t>
            </w:r>
          </w:p>
        </w:tc>
      </w:tr>
      <w:tr>
        <w:tc>
          <w:tcPr>
            <w:tcW w:type="dxa" w:w="2154"/>
          </w:tcPr>
          <w:p>
            <w:pPr>
              <w:spacing w:after="20"/>
            </w:pPr>
            <w:r/>
            <w:r>
              <w:rPr>
                <w:sz w:val="19"/>
              </w:rPr>
              <w:t>Traçabilité</w:t>
            </w:r>
          </w:p>
        </w:tc>
        <w:tc>
          <w:tcPr>
            <w:tcW w:type="dxa" w:w="7483"/>
          </w:tcPr>
          <w:p>
            <w:pPr>
              <w:spacing w:after="20"/>
            </w:pPr>
            <w:r/>
            <w:r>
              <w:rPr>
                <w:sz w:val="19"/>
              </w:rPr>
              <w:t>Journal des actions sensibles (création, validation, libération, annulation) avec utilisateur et horodatage</w:t>
            </w:r>
          </w:p>
        </w:tc>
      </w:tr>
      <w:tr>
        <w:tc>
          <w:tcPr>
            <w:tcW w:type="dxa" w:w="2154"/>
          </w:tcPr>
          <w:p>
            <w:pPr>
              <w:spacing w:after="20"/>
            </w:pPr>
            <w:r/>
            <w:r>
              <w:rPr>
                <w:sz w:val="19"/>
              </w:rPr>
              <w:t>Disponibilité</w:t>
            </w:r>
          </w:p>
        </w:tc>
        <w:tc>
          <w:tcPr>
            <w:tcW w:type="dxa" w:w="7483"/>
          </w:tcPr>
          <w:p>
            <w:pPr>
              <w:spacing w:after="20"/>
            </w:pPr>
            <w:r/>
            <w:r>
              <w:rPr>
                <w:sz w:val="19"/>
              </w:rPr>
              <w:t>Application disponible pendant les heures d'ouverture ; sauvegarde quotidienne de la base de données</w:t>
            </w:r>
          </w:p>
        </w:tc>
      </w:tr>
      <w:tr>
        <w:tc>
          <w:tcPr>
            <w:tcW w:type="dxa" w:w="2154"/>
          </w:tcPr>
          <w:p>
            <w:pPr>
              <w:spacing w:after="20"/>
            </w:pPr>
            <w:r/>
            <w:r>
              <w:rPr>
                <w:sz w:val="19"/>
              </w:rPr>
              <w:t>Maintenabilité</w:t>
            </w:r>
          </w:p>
        </w:tc>
        <w:tc>
          <w:tcPr>
            <w:tcW w:type="dxa" w:w="7483"/>
          </w:tcPr>
          <w:p>
            <w:pPr>
              <w:spacing w:after="20"/>
            </w:pPr>
            <w:r/>
            <w:r>
              <w:rPr>
                <w:sz w:val="19"/>
              </w:rPr>
              <w:t>Code versionné sur GitHub, structuré par application Django, commenté et documenté (README, installation)</w:t>
            </w:r>
          </w:p>
        </w:tc>
      </w:tr>
      <w:tr>
        <w:tc>
          <w:tcPr>
            <w:tcW w:type="dxa" w:w="2154"/>
          </w:tcPr>
          <w:p>
            <w:pPr>
              <w:spacing w:after="20"/>
            </w:pPr>
            <w:r/>
            <w:r>
              <w:rPr>
                <w:sz w:val="19"/>
              </w:rPr>
              <w:t>Compatibilité</w:t>
            </w:r>
          </w:p>
        </w:tc>
        <w:tc>
          <w:tcPr>
            <w:tcW w:type="dxa" w:w="7483"/>
          </w:tcPr>
          <w:p>
            <w:pPr>
              <w:spacing w:after="20"/>
            </w:pPr>
            <w:r/>
            <w:r>
              <w:rPr>
                <w:sz w:val="19"/>
              </w:rPr>
              <w:t>Navigateurs récents : Chrome, Edge, Firefox</w:t>
            </w:r>
          </w:p>
        </w:tc>
      </w:tr>
      <w:tr>
        <w:tc>
          <w:tcPr>
            <w:tcW w:type="dxa" w:w="2154"/>
          </w:tcPr>
          <w:p>
            <w:pPr>
              <w:spacing w:after="20"/>
            </w:pPr>
            <w:r/>
            <w:r>
              <w:rPr>
                <w:sz w:val="19"/>
              </w:rPr>
              <w:t>Données personnelles</w:t>
            </w:r>
          </w:p>
        </w:tc>
        <w:tc>
          <w:tcPr>
            <w:tcW w:type="dxa" w:w="7483"/>
          </w:tcPr>
          <w:p>
            <w:pPr>
              <w:spacing w:after="20"/>
            </w:pPr>
            <w:r/>
            <w:r>
              <w:rPr>
                <w:sz w:val="19"/>
              </w:rPr>
              <w:t>Seules les données nécessaires aux comptes utilisateurs sont collectées, conformément à la loi ivoirienne n° 2013-450 relative à la protection des données à caractère personnel</w:t>
            </w:r>
          </w:p>
        </w:tc>
      </w:tr>
    </w:tbl>
    <w:p>
      <w:pPr>
        <w:spacing w:after="40"/>
      </w:pPr>
    </w:p>
    <w:p>
      <w:pPr>
        <w:spacing w:before="200" w:after="80"/>
        <w:pBdr>
          <w:bottom w:val="single" w:sz="6" w:color="1E6B34"/>
        </w:pBdr>
      </w:pPr>
      <w:r>
        <w:rPr>
          <w:b/>
          <w:color w:val="1E6B34"/>
          <w:sz w:val="25"/>
        </w:rPr>
        <w:t>8. CONTRAINTES TECHNIQUES ET ARCHITECTURE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154"/>
            <w:shd w:val="clear" w:color="auto" w:fill="1E6B34"/>
          </w:tcPr>
          <w:p>
            <w:pPr>
              <w:spacing w:after="20"/>
            </w:pPr>
            <w:r/>
            <w:r>
              <w:rPr>
                <w:b/>
                <w:color w:val="FFFFFF"/>
                <w:sz w:val="19"/>
              </w:rPr>
              <w:t>Élément</w:t>
            </w:r>
          </w:p>
        </w:tc>
        <w:tc>
          <w:tcPr>
            <w:tcW w:type="dxa" w:w="7483"/>
            <w:shd w:val="clear" w:color="auto" w:fill="1E6B34"/>
          </w:tcPr>
          <w:p>
            <w:pPr>
              <w:spacing w:after="20"/>
            </w:pPr>
            <w:r/>
            <w:r>
              <w:rPr>
                <w:b/>
                <w:color w:val="FFFFFF"/>
                <w:sz w:val="19"/>
              </w:rPr>
              <w:t>Choix</w:t>
            </w:r>
          </w:p>
        </w:tc>
      </w:tr>
      <w:tr>
        <w:tc>
          <w:tcPr>
            <w:tcW w:type="dxa" w:w="2154"/>
          </w:tcPr>
          <w:p>
            <w:pPr>
              <w:spacing w:after="20"/>
            </w:pPr>
            <w:r/>
            <w:r>
              <w:rPr>
                <w:sz w:val="19"/>
              </w:rPr>
              <w:t>Type d'application</w:t>
            </w:r>
          </w:p>
        </w:tc>
        <w:tc>
          <w:tcPr>
            <w:tcW w:type="dxa" w:w="7483"/>
          </w:tcPr>
          <w:p>
            <w:pPr>
              <w:spacing w:after="20"/>
            </w:pPr>
            <w:r/>
            <w:r>
              <w:rPr>
                <w:sz w:val="19"/>
              </w:rPr>
              <w:t>Application web responsive, accessible depuis un navigateur, sans installation sur les postes</w:t>
            </w:r>
          </w:p>
        </w:tc>
      </w:tr>
      <w:tr>
        <w:tc>
          <w:tcPr>
            <w:tcW w:type="dxa" w:w="2154"/>
          </w:tcPr>
          <w:p>
            <w:pPr>
              <w:spacing w:after="20"/>
            </w:pPr>
            <w:r/>
            <w:r>
              <w:rPr>
                <w:sz w:val="19"/>
              </w:rPr>
              <w:t>Back-end</w:t>
            </w:r>
          </w:p>
        </w:tc>
        <w:tc>
          <w:tcPr>
            <w:tcW w:type="dxa" w:w="7483"/>
          </w:tcPr>
          <w:p>
            <w:pPr>
              <w:spacing w:after="20"/>
            </w:pPr>
            <w:r/>
            <w:r>
              <w:rPr>
                <w:sz w:val="19"/>
              </w:rPr>
              <w:t>Python avec le framework Django (modèles, administration, authentification et gestion des droits intégrées)</w:t>
            </w:r>
          </w:p>
        </w:tc>
      </w:tr>
      <w:tr>
        <w:tc>
          <w:tcPr>
            <w:tcW w:type="dxa" w:w="2154"/>
          </w:tcPr>
          <w:p>
            <w:pPr>
              <w:spacing w:after="20"/>
            </w:pPr>
            <w:r/>
            <w:r>
              <w:rPr>
                <w:sz w:val="19"/>
              </w:rPr>
              <w:t>Front-end</w:t>
            </w:r>
          </w:p>
        </w:tc>
        <w:tc>
          <w:tcPr>
            <w:tcW w:type="dxa" w:w="7483"/>
          </w:tcPr>
          <w:p>
            <w:pPr>
              <w:spacing w:after="20"/>
            </w:pPr>
            <w:r/>
            <w:r>
              <w:rPr>
                <w:sz w:val="19"/>
              </w:rPr>
              <w:t>Par défaut : templates Django rendus côté serveur avec Bootstrap. Alternative possible : interface séparée (React ou Vue.js) reliée à une API Django REST Framework</w:t>
            </w:r>
          </w:p>
        </w:tc>
      </w:tr>
      <w:tr>
        <w:tc>
          <w:tcPr>
            <w:tcW w:type="dxa" w:w="2154"/>
          </w:tcPr>
          <w:p>
            <w:pPr>
              <w:spacing w:after="20"/>
            </w:pPr>
            <w:r/>
            <w:r>
              <w:rPr>
                <w:sz w:val="19"/>
              </w:rPr>
              <w:t>Base de données</w:t>
            </w:r>
          </w:p>
        </w:tc>
        <w:tc>
          <w:tcPr>
            <w:tcW w:type="dxa" w:w="7483"/>
          </w:tcPr>
          <w:p>
            <w:pPr>
              <w:spacing w:after="20"/>
            </w:pPr>
            <w:r/>
            <w:r>
              <w:rPr>
                <w:sz w:val="19"/>
              </w:rPr>
              <w:t>PostgreSQL (SQLite accepté en développement)</w:t>
            </w:r>
          </w:p>
        </w:tc>
      </w:tr>
      <w:tr>
        <w:tc>
          <w:tcPr>
            <w:tcW w:type="dxa" w:w="2154"/>
          </w:tcPr>
          <w:p>
            <w:pPr>
              <w:spacing w:after="20"/>
            </w:pPr>
            <w:r/>
            <w:r>
              <w:rPr>
                <w:sz w:val="19"/>
              </w:rPr>
              <w:t>Outils</w:t>
            </w:r>
          </w:p>
        </w:tc>
        <w:tc>
          <w:tcPr>
            <w:tcW w:type="dxa" w:w="7483"/>
          </w:tcPr>
          <w:p>
            <w:pPr>
              <w:spacing w:after="20"/>
            </w:pPr>
            <w:r/>
            <w:r>
              <w:rPr>
                <w:sz w:val="19"/>
              </w:rPr>
              <w:t>Git et GitHub (versionnement), Figma (maquettes), Trello (suivi des tâches), outil UML pour la modélisation</w:t>
            </w:r>
          </w:p>
        </w:tc>
      </w:tr>
      <w:tr>
        <w:tc>
          <w:tcPr>
            <w:tcW w:type="dxa" w:w="2154"/>
          </w:tcPr>
          <w:p>
            <w:pPr>
              <w:spacing w:after="20"/>
            </w:pPr>
            <w:r/>
            <w:r>
              <w:rPr>
                <w:sz w:val="19"/>
              </w:rPr>
              <w:t>Hébergement</w:t>
            </w:r>
          </w:p>
        </w:tc>
        <w:tc>
          <w:tcPr>
            <w:tcW w:type="dxa" w:w="7483"/>
          </w:tcPr>
          <w:p>
            <w:pPr>
              <w:spacing w:after="20"/>
            </w:pPr>
            <w:r/>
            <w:r>
              <w:rPr>
                <w:sz w:val="19"/>
              </w:rPr>
              <w:t>Démonstration sur poste local ou hébergeur gratuit ; serveur interne de l'entreprise à envisager pour une mise en service réelle</w:t>
            </w:r>
          </w:p>
        </w:tc>
      </w:tr>
    </w:tbl>
    <w:p>
      <w:pPr>
        <w:spacing w:after="40"/>
      </w:pPr>
    </w:p>
    <w:p>
      <w:pPr>
        <w:spacing w:before="200" w:after="80"/>
        <w:pBdr>
          <w:bottom w:val="single" w:sz="6" w:color="1E6B34"/>
        </w:pBdr>
      </w:pPr>
      <w:r>
        <w:rPr>
          <w:b/>
          <w:color w:val="1E6B34"/>
          <w:sz w:val="25"/>
        </w:rPr>
        <w:t>9. CONTRAINTES ORGANISATIONNELLES ET PLANNING</w:t>
      </w:r>
    </w:p>
    <w:p>
      <w:pPr>
        <w:pStyle w:val="ListBullet"/>
        <w:spacing w:after="40"/>
      </w:pPr>
      <w:r>
        <w:t>un interlocuteur du service informatique disponible pour trois échanges : cahier des charges, maquette et application finale ;</w:t>
      </w:r>
    </w:p>
    <w:p>
      <w:pPr>
        <w:pStyle w:val="ListBullet"/>
        <w:spacing w:after="40"/>
      </w:pPr>
      <w:r>
        <w:t>utilisation exclusive de données de démonstration : aucune formule ni donnée réelle de l'entreprise n'est nécessaire au projet ;</w:t>
      </w:r>
    </w:p>
    <w:p>
      <w:pPr>
        <w:pStyle w:val="ListBullet"/>
        <w:spacing w:after="40"/>
      </w:pPr>
      <w:r>
        <w:t>travail organisé en sprints, avec un backlog suivi sur Trello.</w:t>
      </w:r>
    </w:p>
    <w:p>
      <w:pPr>
        <w:jc w:val="both"/>
      </w:pPr>
      <w:r>
        <w:t>Le projet suit le planning officiel du module Atelier du Génie Logiciel, sur quatre mois. Les visites et échanges avec l'entreprise se poursuivent pendant toute la durée du projet.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041"/>
            <w:shd w:val="clear" w:color="auto" w:fill="1E6B34"/>
          </w:tcPr>
          <w:p>
            <w:pPr>
              <w:spacing w:after="20"/>
            </w:pPr>
            <w:r/>
            <w:r>
              <w:rPr>
                <w:b/>
                <w:color w:val="FFFFFF"/>
                <w:sz w:val="19"/>
              </w:rPr>
              <w:t>Phase</w:t>
            </w:r>
          </w:p>
        </w:tc>
        <w:tc>
          <w:tcPr>
            <w:tcW w:type="dxa" w:w="1814"/>
            <w:shd w:val="clear" w:color="auto" w:fill="1E6B34"/>
          </w:tcPr>
          <w:p>
            <w:pPr>
              <w:spacing w:after="20"/>
            </w:pPr>
            <w:r/>
            <w:r>
              <w:rPr>
                <w:b/>
                <w:color w:val="FFFFFF"/>
                <w:sz w:val="19"/>
              </w:rPr>
              <w:t>Période</w:t>
            </w:r>
          </w:p>
        </w:tc>
        <w:tc>
          <w:tcPr>
            <w:tcW w:type="dxa" w:w="3175"/>
            <w:shd w:val="clear" w:color="auto" w:fill="1E6B34"/>
          </w:tcPr>
          <w:p>
            <w:pPr>
              <w:spacing w:after="20"/>
            </w:pPr>
            <w:r/>
            <w:r>
              <w:rPr>
                <w:b/>
                <w:color w:val="FFFFFF"/>
                <w:sz w:val="19"/>
              </w:rPr>
              <w:t>Activités</w:t>
            </w:r>
          </w:p>
        </w:tc>
        <w:tc>
          <w:tcPr>
            <w:tcW w:type="dxa" w:w="2608"/>
            <w:shd w:val="clear" w:color="auto" w:fill="1E6B34"/>
          </w:tcPr>
          <w:p>
            <w:pPr>
              <w:spacing w:after="20"/>
            </w:pPr>
            <w:r/>
            <w:r>
              <w:rPr>
                <w:b/>
                <w:color w:val="FFFFFF"/>
                <w:sz w:val="19"/>
              </w:rPr>
              <w:t>Résultat</w:t>
            </w:r>
          </w:p>
        </w:tc>
      </w:tr>
      <w:tr>
        <w:tc>
          <w:tcPr>
            <w:tcW w:type="dxa" w:w="2041"/>
          </w:tcPr>
          <w:p>
            <w:pPr>
              <w:spacing w:after="20"/>
            </w:pPr>
            <w:r/>
            <w:r>
              <w:rPr>
                <w:sz w:val="19"/>
              </w:rPr>
              <w:t>Analyse et conception</w:t>
            </w:r>
          </w:p>
        </w:tc>
        <w:tc>
          <w:tcPr>
            <w:tcW w:type="dxa" w:w="1814"/>
          </w:tcPr>
          <w:p>
            <w:pPr>
              <w:spacing w:after="20"/>
            </w:pPr>
            <w:r/>
            <w:r>
              <w:rPr>
                <w:sz w:val="19"/>
              </w:rPr>
              <w:t>Mois 1</w:t>
            </w:r>
          </w:p>
        </w:tc>
        <w:tc>
          <w:tcPr>
            <w:tcW w:type="dxa" w:w="3175"/>
          </w:tcPr>
          <w:p>
            <w:pPr>
              <w:spacing w:after="20"/>
            </w:pPr>
            <w:r/>
            <w:r>
              <w:rPr>
                <w:sz w:val="19"/>
              </w:rPr>
              <w:t>Visite de l'entreprise, analyse, conception, élaboration des maquettes, présentation</w:t>
            </w:r>
          </w:p>
        </w:tc>
        <w:tc>
          <w:tcPr>
            <w:tcW w:type="dxa" w:w="2608"/>
          </w:tcPr>
          <w:p>
            <w:pPr>
              <w:spacing w:after="20"/>
            </w:pPr>
            <w:r/>
            <w:r>
              <w:rPr>
                <w:sz w:val="19"/>
              </w:rPr>
              <w:t>Cahier des charges, diagrammes UML, MCD / MLD, maquettes Figma</w:t>
            </w:r>
          </w:p>
        </w:tc>
      </w:tr>
      <w:tr>
        <w:tc>
          <w:tcPr>
            <w:tcW w:type="dxa" w:w="2041"/>
          </w:tcPr>
          <w:p>
            <w:pPr>
              <w:spacing w:after="20"/>
            </w:pPr>
            <w:r/>
            <w:r>
              <w:rPr>
                <w:sz w:val="19"/>
              </w:rPr>
              <w:t>Développement front-end</w:t>
            </w:r>
          </w:p>
        </w:tc>
        <w:tc>
          <w:tcPr>
            <w:tcW w:type="dxa" w:w="1814"/>
          </w:tcPr>
          <w:p>
            <w:pPr>
              <w:spacing w:after="20"/>
            </w:pPr>
            <w:r/>
            <w:r>
              <w:rPr>
                <w:sz w:val="19"/>
              </w:rPr>
              <w:t>Début du mois 2</w:t>
            </w:r>
          </w:p>
        </w:tc>
        <w:tc>
          <w:tcPr>
            <w:tcW w:type="dxa" w:w="3175"/>
          </w:tcPr>
          <w:p>
            <w:pPr>
              <w:spacing w:after="20"/>
            </w:pPr>
            <w:r/>
            <w:r>
              <w:rPr>
                <w:sz w:val="19"/>
              </w:rPr>
              <w:t>Conception de l'interface utilisateur, présentation</w:t>
            </w:r>
          </w:p>
        </w:tc>
        <w:tc>
          <w:tcPr>
            <w:tcW w:type="dxa" w:w="2608"/>
          </w:tcPr>
          <w:p>
            <w:pPr>
              <w:spacing w:after="20"/>
            </w:pPr>
            <w:r/>
            <w:r>
              <w:rPr>
                <w:sz w:val="19"/>
              </w:rPr>
              <w:t>Écrans conformes aux maquettes (templates Django)</w:t>
            </w:r>
          </w:p>
        </w:tc>
      </w:tr>
      <w:tr>
        <w:tc>
          <w:tcPr>
            <w:tcW w:type="dxa" w:w="2041"/>
          </w:tcPr>
          <w:p>
            <w:pPr>
              <w:spacing w:after="20"/>
            </w:pPr>
            <w:r/>
            <w:r>
              <w:rPr>
                <w:sz w:val="19"/>
              </w:rPr>
              <w:t>Développement back-end 1/2</w:t>
            </w:r>
          </w:p>
        </w:tc>
        <w:tc>
          <w:tcPr>
            <w:tcW w:type="dxa" w:w="1814"/>
          </w:tcPr>
          <w:p>
            <w:pPr>
              <w:spacing w:after="20"/>
            </w:pPr>
            <w:r/>
            <w:r>
              <w:rPr>
                <w:sz w:val="19"/>
              </w:rPr>
              <w:t>Fin du mois 2 – début du mois 3</w:t>
            </w:r>
          </w:p>
        </w:tc>
        <w:tc>
          <w:tcPr>
            <w:tcW w:type="dxa" w:w="3175"/>
          </w:tcPr>
          <w:p>
            <w:pPr>
              <w:spacing w:after="20"/>
            </w:pPr>
            <w:r/>
            <w:r>
              <w:rPr>
                <w:sz w:val="19"/>
              </w:rPr>
              <w:t>Initialisation du back-end, intégration des entités, intégration des vues et du routage</w:t>
            </w:r>
          </w:p>
        </w:tc>
        <w:tc>
          <w:tcPr>
            <w:tcW w:type="dxa" w:w="2608"/>
          </w:tcPr>
          <w:p>
            <w:pPr>
              <w:spacing w:after="20"/>
            </w:pPr>
            <w:r/>
            <w:r>
              <w:rPr>
                <w:sz w:val="19"/>
              </w:rPr>
              <w:t>Projet Django, modèles et base PostgreSQL, URL et vues</w:t>
            </w:r>
          </w:p>
        </w:tc>
      </w:tr>
      <w:tr>
        <w:tc>
          <w:tcPr>
            <w:tcW w:type="dxa" w:w="2041"/>
          </w:tcPr>
          <w:p>
            <w:pPr>
              <w:spacing w:after="20"/>
            </w:pPr>
            <w:r/>
            <w:r>
              <w:rPr>
                <w:sz w:val="19"/>
              </w:rPr>
              <w:t>Développement back-end 2/2</w:t>
            </w:r>
          </w:p>
        </w:tc>
        <w:tc>
          <w:tcPr>
            <w:tcW w:type="dxa" w:w="1814"/>
          </w:tcPr>
          <w:p>
            <w:pPr>
              <w:spacing w:after="20"/>
            </w:pPr>
            <w:r/>
            <w:r>
              <w:rPr>
                <w:sz w:val="19"/>
              </w:rPr>
              <w:t>Mois 3</w:t>
            </w:r>
          </w:p>
        </w:tc>
        <w:tc>
          <w:tcPr>
            <w:tcW w:type="dxa" w:w="3175"/>
          </w:tcPr>
          <w:p>
            <w:pPr>
              <w:spacing w:after="20"/>
            </w:pPr>
            <w:r/>
            <w:r>
              <w:rPr>
                <w:sz w:val="19"/>
              </w:rPr>
              <w:t>Dynamisation de l'interface, tests unitaires, d'intégration et de performance, documentation technique</w:t>
            </w:r>
          </w:p>
        </w:tc>
        <w:tc>
          <w:tcPr>
            <w:tcW w:type="dxa" w:w="2608"/>
          </w:tcPr>
          <w:p>
            <w:pPr>
              <w:spacing w:after="20"/>
            </w:pPr>
            <w:r/>
            <w:r>
              <w:rPr>
                <w:sz w:val="19"/>
              </w:rPr>
              <w:t>Application fonctionnelle testée et documentée</w:t>
            </w:r>
          </w:p>
        </w:tc>
      </w:tr>
      <w:tr>
        <w:tc>
          <w:tcPr>
            <w:tcW w:type="dxa" w:w="2041"/>
          </w:tcPr>
          <w:p>
            <w:pPr>
              <w:spacing w:after="20"/>
            </w:pPr>
            <w:r/>
            <w:r>
              <w:rPr>
                <w:sz w:val="19"/>
              </w:rPr>
              <w:t>Présentation</w:t>
            </w:r>
          </w:p>
        </w:tc>
        <w:tc>
          <w:tcPr>
            <w:tcW w:type="dxa" w:w="1814"/>
          </w:tcPr>
          <w:p>
            <w:pPr>
              <w:spacing w:after="20"/>
            </w:pPr>
            <w:r/>
            <w:r>
              <w:rPr>
                <w:sz w:val="19"/>
              </w:rPr>
              <w:t>Début du mois 4</w:t>
            </w:r>
          </w:p>
        </w:tc>
        <w:tc>
          <w:tcPr>
            <w:tcW w:type="dxa" w:w="3175"/>
          </w:tcPr>
          <w:p>
            <w:pPr>
              <w:spacing w:after="20"/>
            </w:pPr>
            <w:r/>
            <w:r>
              <w:rPr>
                <w:sz w:val="19"/>
              </w:rPr>
              <w:t>Présentation de l'application</w:t>
            </w:r>
          </w:p>
        </w:tc>
        <w:tc>
          <w:tcPr>
            <w:tcW w:type="dxa" w:w="2608"/>
          </w:tcPr>
          <w:p>
            <w:pPr>
              <w:spacing w:after="20"/>
            </w:pPr>
            <w:r/>
            <w:r>
              <w:rPr>
                <w:sz w:val="19"/>
              </w:rPr>
              <w:t>Démonstration</w:t>
            </w:r>
          </w:p>
        </w:tc>
      </w:tr>
      <w:tr>
        <w:tc>
          <w:tcPr>
            <w:tcW w:type="dxa" w:w="2041"/>
          </w:tcPr>
          <w:p>
            <w:pPr>
              <w:spacing w:after="20"/>
            </w:pPr>
            <w:r/>
            <w:r>
              <w:rPr>
                <w:sz w:val="19"/>
              </w:rPr>
              <w:t>Correction</w:t>
            </w:r>
          </w:p>
        </w:tc>
        <w:tc>
          <w:tcPr>
            <w:tcW w:type="dxa" w:w="1814"/>
          </w:tcPr>
          <w:p>
            <w:pPr>
              <w:spacing w:after="20"/>
            </w:pPr>
            <w:r/>
            <w:r>
              <w:rPr>
                <w:sz w:val="19"/>
              </w:rPr>
              <w:t>Mois 4</w:t>
            </w:r>
          </w:p>
        </w:tc>
        <w:tc>
          <w:tcPr>
            <w:tcW w:type="dxa" w:w="3175"/>
          </w:tcPr>
          <w:p>
            <w:pPr>
              <w:spacing w:after="20"/>
            </w:pPr>
            <w:r/>
            <w:r>
              <w:rPr>
                <w:sz w:val="19"/>
              </w:rPr>
              <w:t>Correction et prise en compte des remarques</w:t>
            </w:r>
          </w:p>
        </w:tc>
        <w:tc>
          <w:tcPr>
            <w:tcW w:type="dxa" w:w="2608"/>
          </w:tcPr>
          <w:p>
            <w:pPr>
              <w:spacing w:after="20"/>
            </w:pPr>
            <w:r/>
            <w:r>
              <w:rPr>
                <w:sz w:val="19"/>
              </w:rPr>
              <w:t>Version corrigée</w:t>
            </w:r>
          </w:p>
        </w:tc>
      </w:tr>
      <w:tr>
        <w:tc>
          <w:tcPr>
            <w:tcW w:type="dxa" w:w="2041"/>
          </w:tcPr>
          <w:p>
            <w:pPr>
              <w:spacing w:after="20"/>
            </w:pPr>
            <w:r/>
            <w:r>
              <w:rPr>
                <w:sz w:val="19"/>
              </w:rPr>
              <w:t>Présentation finale</w:t>
            </w:r>
          </w:p>
        </w:tc>
        <w:tc>
          <w:tcPr>
            <w:tcW w:type="dxa" w:w="1814"/>
          </w:tcPr>
          <w:p>
            <w:pPr>
              <w:spacing w:after="20"/>
            </w:pPr>
            <w:r/>
            <w:r>
              <w:rPr>
                <w:sz w:val="19"/>
              </w:rPr>
              <w:t>Fin du mois 4</w:t>
            </w:r>
          </w:p>
        </w:tc>
        <w:tc>
          <w:tcPr>
            <w:tcW w:type="dxa" w:w="3175"/>
          </w:tcPr>
          <w:p>
            <w:pPr>
              <w:spacing w:after="20"/>
            </w:pPr>
            <w:r/>
            <w:r>
              <w:rPr>
                <w:sz w:val="19"/>
              </w:rPr>
              <w:t>Soutenance devant l'entreprise et le jury</w:t>
            </w:r>
          </w:p>
        </w:tc>
        <w:tc>
          <w:tcPr>
            <w:tcW w:type="dxa" w:w="2608"/>
          </w:tcPr>
          <w:p>
            <w:pPr>
              <w:spacing w:after="20"/>
            </w:pPr>
            <w:r/>
            <w:r>
              <w:rPr>
                <w:sz w:val="19"/>
              </w:rPr>
              <w:t>Application et documentation finales</w:t>
            </w:r>
          </w:p>
        </w:tc>
      </w:tr>
    </w:tbl>
    <w:p>
      <w:pPr>
        <w:spacing w:after="40"/>
      </w:pPr>
    </w:p>
    <w:p>
      <w:pPr>
        <w:spacing w:before="200" w:after="80"/>
        <w:pBdr>
          <w:bottom w:val="single" w:sz="6" w:color="1E6B34"/>
        </w:pBdr>
      </w:pPr>
      <w:r>
        <w:rPr>
          <w:b/>
          <w:color w:val="1E6B34"/>
          <w:sz w:val="25"/>
        </w:rPr>
        <w:t>10. LIVRABLES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154"/>
            <w:shd w:val="clear" w:color="auto" w:fill="1E6B34"/>
          </w:tcPr>
          <w:p>
            <w:pPr>
              <w:spacing w:after="20"/>
            </w:pPr>
            <w:r/>
            <w:r>
              <w:rPr>
                <w:b/>
                <w:color w:val="FFFFFF"/>
                <w:sz w:val="19"/>
              </w:rPr>
              <w:t>Livrable</w:t>
            </w:r>
          </w:p>
        </w:tc>
        <w:tc>
          <w:tcPr>
            <w:tcW w:type="dxa" w:w="7483"/>
            <w:shd w:val="clear" w:color="auto" w:fill="1E6B34"/>
          </w:tcPr>
          <w:p>
            <w:pPr>
              <w:spacing w:after="20"/>
            </w:pPr>
            <w:r/>
            <w:r>
              <w:rPr>
                <w:b/>
                <w:color w:val="FFFFFF"/>
                <w:sz w:val="19"/>
              </w:rPr>
              <w:t>Contenu</w:t>
            </w:r>
          </w:p>
        </w:tc>
      </w:tr>
      <w:tr>
        <w:tc>
          <w:tcPr>
            <w:tcW w:type="dxa" w:w="2154"/>
          </w:tcPr>
          <w:p>
            <w:pPr>
              <w:spacing w:after="20"/>
            </w:pPr>
            <w:r/>
            <w:r>
              <w:rPr>
                <w:sz w:val="19"/>
              </w:rPr>
              <w:t>Cadrage</w:t>
            </w:r>
          </w:p>
        </w:tc>
        <w:tc>
          <w:tcPr>
            <w:tcW w:type="dxa" w:w="7483"/>
          </w:tcPr>
          <w:p>
            <w:pPr>
              <w:spacing w:after="20"/>
            </w:pPr>
            <w:r/>
            <w:r>
              <w:rPr>
                <w:sz w:val="19"/>
              </w:rPr>
              <w:t>Cahier des charges (Word et PDF)</w:t>
            </w:r>
          </w:p>
        </w:tc>
      </w:tr>
      <w:tr>
        <w:tc>
          <w:tcPr>
            <w:tcW w:type="dxa" w:w="2154"/>
          </w:tcPr>
          <w:p>
            <w:pPr>
              <w:spacing w:after="20"/>
            </w:pPr>
            <w:r/>
            <w:r>
              <w:rPr>
                <w:sz w:val="19"/>
              </w:rPr>
              <w:t>Modélisation</w:t>
            </w:r>
          </w:p>
        </w:tc>
        <w:tc>
          <w:tcPr>
            <w:tcW w:type="dxa" w:w="7483"/>
          </w:tcPr>
          <w:p>
            <w:pPr>
              <w:spacing w:after="20"/>
            </w:pPr>
            <w:r/>
            <w:r>
              <w:rPr>
                <w:sz w:val="19"/>
              </w:rPr>
              <w:t>Diagrammes de cas d'utilisation, de classes, de séquence et d'activité ; MCD et MLD</w:t>
            </w:r>
          </w:p>
        </w:tc>
      </w:tr>
      <w:tr>
        <w:tc>
          <w:tcPr>
            <w:tcW w:type="dxa" w:w="2154"/>
          </w:tcPr>
          <w:p>
            <w:pPr>
              <w:spacing w:after="20"/>
            </w:pPr>
            <w:r/>
            <w:r>
              <w:rPr>
                <w:sz w:val="19"/>
              </w:rPr>
              <w:t>Maquettes</w:t>
            </w:r>
          </w:p>
        </w:tc>
        <w:tc>
          <w:tcPr>
            <w:tcW w:type="dxa" w:w="7483"/>
          </w:tcPr>
          <w:p>
            <w:pPr>
              <w:spacing w:after="20"/>
            </w:pPr>
            <w:r/>
            <w:r>
              <w:rPr>
                <w:sz w:val="19"/>
              </w:rPr>
              <w:t>Maquettes des écrans principaux sur Figma</w:t>
            </w:r>
          </w:p>
        </w:tc>
      </w:tr>
      <w:tr>
        <w:tc>
          <w:tcPr>
            <w:tcW w:type="dxa" w:w="2154"/>
          </w:tcPr>
          <w:p>
            <w:pPr>
              <w:spacing w:after="20"/>
            </w:pPr>
            <w:r/>
            <w:r>
              <w:rPr>
                <w:sz w:val="19"/>
              </w:rPr>
              <w:t>Code source</w:t>
            </w:r>
          </w:p>
        </w:tc>
        <w:tc>
          <w:tcPr>
            <w:tcW w:type="dxa" w:w="7483"/>
          </w:tcPr>
          <w:p>
            <w:pPr>
              <w:spacing w:after="20"/>
            </w:pPr>
            <w:r/>
            <w:r>
              <w:rPr>
                <w:sz w:val="19"/>
              </w:rPr>
              <w:t>Dépôt GitHub avec README (présentation, installation, choix techniques)</w:t>
            </w:r>
          </w:p>
        </w:tc>
      </w:tr>
      <w:tr>
        <w:tc>
          <w:tcPr>
            <w:tcW w:type="dxa" w:w="2154"/>
          </w:tcPr>
          <w:p>
            <w:pPr>
              <w:spacing w:after="20"/>
            </w:pPr>
            <w:r/>
            <w:r>
              <w:rPr>
                <w:sz w:val="19"/>
              </w:rPr>
              <w:t>Application</w:t>
            </w:r>
          </w:p>
        </w:tc>
        <w:tc>
          <w:tcPr>
            <w:tcW w:type="dxa" w:w="7483"/>
          </w:tcPr>
          <w:p>
            <w:pPr>
              <w:spacing w:after="20"/>
            </w:pPr>
            <w:r/>
            <w:r>
              <w:rPr>
                <w:sz w:val="19"/>
              </w:rPr>
              <w:t>Application web démontrable avec un jeu de données de démonstration</w:t>
            </w:r>
          </w:p>
        </w:tc>
      </w:tr>
      <w:tr>
        <w:tc>
          <w:tcPr>
            <w:tcW w:type="dxa" w:w="2154"/>
          </w:tcPr>
          <w:p>
            <w:pPr>
              <w:spacing w:after="20"/>
            </w:pPr>
            <w:r/>
            <w:r>
              <w:rPr>
                <w:sz w:val="19"/>
              </w:rPr>
              <w:t>Tests</w:t>
            </w:r>
          </w:p>
        </w:tc>
        <w:tc>
          <w:tcPr>
            <w:tcW w:type="dxa" w:w="7483"/>
          </w:tcPr>
          <w:p>
            <w:pPr>
              <w:spacing w:after="20"/>
            </w:pPr>
            <w:r/>
            <w:r>
              <w:rPr>
                <w:sz w:val="19"/>
              </w:rPr>
              <w:t>Rapport des tests unitaires, d'intégration et de performance</w:t>
            </w:r>
          </w:p>
        </w:tc>
      </w:tr>
      <w:tr>
        <w:tc>
          <w:tcPr>
            <w:tcW w:type="dxa" w:w="2154"/>
          </w:tcPr>
          <w:p>
            <w:pPr>
              <w:spacing w:after="20"/>
            </w:pPr>
            <w:r/>
            <w:r>
              <w:rPr>
                <w:sz w:val="19"/>
              </w:rPr>
              <w:t>Documentation</w:t>
            </w:r>
          </w:p>
        </w:tc>
        <w:tc>
          <w:tcPr>
            <w:tcW w:type="dxa" w:w="7483"/>
          </w:tcPr>
          <w:p>
            <w:pPr>
              <w:spacing w:after="20"/>
            </w:pPr>
            <w:r/>
            <w:r>
              <w:rPr>
                <w:sz w:val="19"/>
              </w:rPr>
              <w:t>Documentation technique, guide utilisateur et support de présentation finale</w:t>
            </w:r>
          </w:p>
        </w:tc>
      </w:tr>
    </w:tbl>
    <w:p>
      <w:pPr>
        <w:spacing w:after="40"/>
      </w:pPr>
    </w:p>
    <w:p>
      <w:pPr>
        <w:spacing w:before="200" w:after="80"/>
        <w:pBdr>
          <w:bottom w:val="single" w:sz="6" w:color="1E6B34"/>
        </w:pBdr>
      </w:pPr>
      <w:r>
        <w:rPr>
          <w:b/>
          <w:color w:val="1E6B34"/>
          <w:sz w:val="25"/>
        </w:rPr>
        <w:t>11. RISQUES ET PARADES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213"/>
        <w:gridCol w:w="3213"/>
        <w:gridCol w:w="3213"/>
      </w:tblGrid>
      <w:tr>
        <w:tc>
          <w:tcPr>
            <w:tcW w:type="dxa" w:w="3515"/>
            <w:shd w:val="clear" w:color="auto" w:fill="1E6B34"/>
          </w:tcPr>
          <w:p>
            <w:pPr>
              <w:spacing w:after="20"/>
            </w:pPr>
            <w:r/>
            <w:r>
              <w:rPr>
                <w:b/>
                <w:color w:val="FFFFFF"/>
                <w:sz w:val="19"/>
              </w:rPr>
              <w:t>Risque</w:t>
            </w:r>
          </w:p>
        </w:tc>
        <w:tc>
          <w:tcPr>
            <w:tcW w:type="dxa" w:w="1020"/>
            <w:shd w:val="clear" w:color="auto" w:fill="1E6B34"/>
          </w:tcPr>
          <w:p>
            <w:pPr>
              <w:spacing w:after="20"/>
            </w:pPr>
            <w:r/>
            <w:r>
              <w:rPr>
                <w:b/>
                <w:color w:val="FFFFFF"/>
                <w:sz w:val="19"/>
              </w:rPr>
              <w:t>Impact</w:t>
            </w:r>
          </w:p>
        </w:tc>
        <w:tc>
          <w:tcPr>
            <w:tcW w:type="dxa" w:w="5102"/>
            <w:shd w:val="clear" w:color="auto" w:fill="1E6B34"/>
          </w:tcPr>
          <w:p>
            <w:pPr>
              <w:spacing w:after="20"/>
            </w:pPr>
            <w:r/>
            <w:r>
              <w:rPr>
                <w:b/>
                <w:color w:val="FFFFFF"/>
                <w:sz w:val="19"/>
              </w:rPr>
              <w:t>Parade prévue</w:t>
            </w:r>
          </w:p>
        </w:tc>
      </w:tr>
      <w:tr>
        <w:tc>
          <w:tcPr>
            <w:tcW w:type="dxa" w:w="3515"/>
          </w:tcPr>
          <w:p>
            <w:pPr>
              <w:spacing w:after="20"/>
            </w:pPr>
            <w:r/>
            <w:r>
              <w:rPr>
                <w:sz w:val="19"/>
              </w:rPr>
              <w:t>Peu de disponibilité de l'entreprise pour répondre aux questions</w:t>
            </w:r>
          </w:p>
        </w:tc>
        <w:tc>
          <w:tcPr>
            <w:tcW w:type="dxa" w:w="1020"/>
          </w:tcPr>
          <w:p>
            <w:pPr>
              <w:spacing w:after="20"/>
            </w:pPr>
            <w:r/>
            <w:r>
              <w:rPr>
                <w:sz w:val="19"/>
              </w:rPr>
              <w:t>Élevé</w:t>
            </w:r>
          </w:p>
        </w:tc>
        <w:tc>
          <w:tcPr>
            <w:tcW w:type="dxa" w:w="5102"/>
          </w:tcPr>
          <w:p>
            <w:pPr>
              <w:spacing w:after="20"/>
            </w:pPr>
            <w:r/>
            <w:r>
              <w:rPr>
                <w:sz w:val="19"/>
              </w:rPr>
              <w:t>Hypothèses réalistes documentées, questions regroupées (section 14), validation par écrit</w:t>
            </w:r>
          </w:p>
        </w:tc>
      </w:tr>
      <w:tr>
        <w:tc>
          <w:tcPr>
            <w:tcW w:type="dxa" w:w="3515"/>
          </w:tcPr>
          <w:p>
            <w:pPr>
              <w:spacing w:after="20"/>
            </w:pPr>
            <w:r/>
            <w:r>
              <w:rPr>
                <w:sz w:val="19"/>
              </w:rPr>
              <w:t>Confidentialité des formules et des données réelles</w:t>
            </w:r>
          </w:p>
        </w:tc>
        <w:tc>
          <w:tcPr>
            <w:tcW w:type="dxa" w:w="1020"/>
          </w:tcPr>
          <w:p>
            <w:pPr>
              <w:spacing w:after="20"/>
            </w:pPr>
            <w:r/>
            <w:r>
              <w:rPr>
                <w:sz w:val="19"/>
              </w:rPr>
              <w:t>Moyen</w:t>
            </w:r>
          </w:p>
        </w:tc>
        <w:tc>
          <w:tcPr>
            <w:tcW w:type="dxa" w:w="5102"/>
          </w:tcPr>
          <w:p>
            <w:pPr>
              <w:spacing w:after="20"/>
            </w:pPr>
            <w:r/>
            <w:r>
              <w:rPr>
                <w:sz w:val="19"/>
              </w:rPr>
              <w:t>Données de démonstration uniquement, aucune donnée réelle demandée</w:t>
            </w:r>
          </w:p>
        </w:tc>
      </w:tr>
      <w:tr>
        <w:tc>
          <w:tcPr>
            <w:tcW w:type="dxa" w:w="3515"/>
          </w:tcPr>
          <w:p>
            <w:pPr>
              <w:spacing w:after="20"/>
            </w:pPr>
            <w:r/>
            <w:r>
              <w:rPr>
                <w:sz w:val="19"/>
              </w:rPr>
              <w:t>Périmètre trop large pour le temps disponible</w:t>
            </w:r>
          </w:p>
        </w:tc>
        <w:tc>
          <w:tcPr>
            <w:tcW w:type="dxa" w:w="1020"/>
          </w:tcPr>
          <w:p>
            <w:pPr>
              <w:spacing w:after="20"/>
            </w:pPr>
            <w:r/>
            <w:r>
              <w:rPr>
                <w:sz w:val="19"/>
              </w:rPr>
              <w:t>Élevé</w:t>
            </w:r>
          </w:p>
        </w:tc>
        <w:tc>
          <w:tcPr>
            <w:tcW w:type="dxa" w:w="5102"/>
          </w:tcPr>
          <w:p>
            <w:pPr>
              <w:spacing w:after="20"/>
            </w:pPr>
            <w:r/>
            <w:r>
              <w:rPr>
                <w:sz w:val="19"/>
              </w:rPr>
              <w:t>Priorisation MoSCoW : seules les exigences Must sont garanties</w:t>
            </w:r>
          </w:p>
        </w:tc>
      </w:tr>
      <w:tr>
        <w:tc>
          <w:tcPr>
            <w:tcW w:type="dxa" w:w="3515"/>
          </w:tcPr>
          <w:p>
            <w:pPr>
              <w:spacing w:after="20"/>
            </w:pPr>
            <w:r/>
            <w:r>
              <w:rPr>
                <w:sz w:val="19"/>
              </w:rPr>
              <w:t>Prise en main de Django</w:t>
            </w:r>
          </w:p>
        </w:tc>
        <w:tc>
          <w:tcPr>
            <w:tcW w:type="dxa" w:w="1020"/>
          </w:tcPr>
          <w:p>
            <w:pPr>
              <w:spacing w:after="20"/>
            </w:pPr>
            <w:r/>
            <w:r>
              <w:rPr>
                <w:sz w:val="19"/>
              </w:rPr>
              <w:t>Moyen</w:t>
            </w:r>
          </w:p>
        </w:tc>
        <w:tc>
          <w:tcPr>
            <w:tcW w:type="dxa" w:w="5102"/>
          </w:tcPr>
          <w:p>
            <w:pPr>
              <w:spacing w:after="20"/>
            </w:pPr>
            <w:r/>
            <w:r>
              <w:rPr>
                <w:sz w:val="19"/>
              </w:rPr>
              <w:t>Formation en début de projet, usage des outils intégrés de Django (admin, authentification)</w:t>
            </w:r>
          </w:p>
        </w:tc>
      </w:tr>
      <w:tr>
        <w:tc>
          <w:tcPr>
            <w:tcW w:type="dxa" w:w="3515"/>
          </w:tcPr>
          <w:p>
            <w:pPr>
              <w:spacing w:after="20"/>
            </w:pPr>
            <w:r/>
            <w:r>
              <w:rPr>
                <w:sz w:val="19"/>
              </w:rPr>
              <w:t>Besoins modifiés en cours de projet</w:t>
            </w:r>
          </w:p>
        </w:tc>
        <w:tc>
          <w:tcPr>
            <w:tcW w:type="dxa" w:w="1020"/>
          </w:tcPr>
          <w:p>
            <w:pPr>
              <w:spacing w:after="20"/>
            </w:pPr>
            <w:r/>
            <w:r>
              <w:rPr>
                <w:sz w:val="19"/>
              </w:rPr>
              <w:t>Moyen</w:t>
            </w:r>
          </w:p>
        </w:tc>
        <w:tc>
          <w:tcPr>
            <w:tcW w:type="dxa" w:w="5102"/>
          </w:tcPr>
          <w:p>
            <w:pPr>
              <w:spacing w:after="20"/>
            </w:pPr>
            <w:r/>
            <w:r>
              <w:rPr>
                <w:sz w:val="19"/>
              </w:rPr>
              <w:t>Nouvelles demandes ajoutées au backlog et arbitrées à chaque sprint</w:t>
            </w:r>
          </w:p>
        </w:tc>
      </w:tr>
    </w:tbl>
    <w:p>
      <w:pPr>
        <w:spacing w:after="40"/>
      </w:pPr>
    </w:p>
    <w:p>
      <w:pPr>
        <w:spacing w:before="200" w:after="80"/>
        <w:pBdr>
          <w:bottom w:val="single" w:sz="6" w:color="1E6B34"/>
        </w:pBdr>
      </w:pPr>
      <w:r>
        <w:rPr>
          <w:b/>
          <w:color w:val="1E6B34"/>
          <w:sz w:val="25"/>
        </w:rPr>
        <w:t>12. CRITÈRES DE RECETTE</w:t>
      </w:r>
    </w:p>
    <w:p>
      <w:pPr>
        <w:jc w:val="both"/>
      </w:pPr>
      <w:r>
        <w:t>L'application sera considérée comme conforme lorsque les scénarios suivants fonctionnent avec les données de démonstration :</w:t>
      </w:r>
    </w:p>
    <w:p>
      <w:pPr>
        <w:pStyle w:val="ListBullet"/>
        <w:spacing w:after="40"/>
      </w:pPr>
      <w:r>
        <w:t>chaque rôle se connecte et ne voit que les écrans autorisés ;</w:t>
      </w:r>
    </w:p>
    <w:p>
      <w:pPr>
        <w:pStyle w:val="ListBullet"/>
        <w:spacing w:after="40"/>
      </w:pPr>
      <w:r>
        <w:t>une formule est créée, validée, puis modifiée sous forme d'une nouvelle version ;</w:t>
      </w:r>
    </w:p>
    <w:p>
      <w:pPr>
        <w:pStyle w:val="ListBullet"/>
        <w:spacing w:after="40"/>
      </w:pPr>
      <w:r>
        <w:t>un lot est créé à partir d'une formule validée, ses consommations sont saisies et le stock des matières diminue ;</w:t>
      </w:r>
    </w:p>
    <w:p>
      <w:pPr>
        <w:pStyle w:val="ListBullet"/>
        <w:spacing w:after="40"/>
      </w:pPr>
      <w:r>
        <w:t>un lot non conforme est bloqué et n'apparaît pas dans le stock de produits finis ; un lot conforme y apparaît après libération ;</w:t>
      </w:r>
    </w:p>
    <w:p>
      <w:pPr>
        <w:pStyle w:val="ListBullet"/>
        <w:spacing w:after="40"/>
      </w:pPr>
      <w:r>
        <w:t>à partir d'un numéro de lot de produit fini, on retrouve la formule, les lots de matières premières et les analyses ;</w:t>
      </w:r>
    </w:p>
    <w:p>
      <w:pPr>
        <w:pStyle w:val="ListBullet"/>
        <w:spacing w:after="40"/>
      </w:pPr>
      <w:r>
        <w:t>les tests unitaires, d'intégration et de performance passent, et le temps de réponse respecte la section 7 ;</w:t>
      </w:r>
    </w:p>
    <w:p>
      <w:pPr>
        <w:pStyle w:val="ListBullet"/>
        <w:spacing w:after="40"/>
      </w:pPr>
      <w:r>
        <w:t>toutes les exigences Must et les règles de gestion RG1 à RG9 sont vérifiées par un cahier de tests.</w:t>
      </w:r>
    </w:p>
    <w:p>
      <w:pPr>
        <w:spacing w:before="200" w:after="80"/>
        <w:pBdr>
          <w:bottom w:val="single" w:sz="6" w:color="1E6B34"/>
        </w:pBdr>
      </w:pPr>
      <w:r>
        <w:rPr>
          <w:b/>
          <w:color w:val="1E6B34"/>
          <w:sz w:val="25"/>
        </w:rPr>
        <w:t>13. GLOSSAIRE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154"/>
            <w:shd w:val="clear" w:color="auto" w:fill="1E6B34"/>
          </w:tcPr>
          <w:p>
            <w:pPr>
              <w:spacing w:after="20"/>
            </w:pPr>
            <w:r/>
            <w:r>
              <w:rPr>
                <w:b/>
                <w:color w:val="FFFFFF"/>
                <w:sz w:val="19"/>
              </w:rPr>
              <w:t>Terme</w:t>
            </w:r>
          </w:p>
        </w:tc>
        <w:tc>
          <w:tcPr>
            <w:tcW w:type="dxa" w:w="7483"/>
            <w:shd w:val="clear" w:color="auto" w:fill="1E6B34"/>
          </w:tcPr>
          <w:p>
            <w:pPr>
              <w:spacing w:after="20"/>
            </w:pPr>
            <w:r/>
            <w:r>
              <w:rPr>
                <w:b/>
                <w:color w:val="FFFFFF"/>
                <w:sz w:val="19"/>
              </w:rPr>
              <w:t>Définition</w:t>
            </w:r>
          </w:p>
        </w:tc>
      </w:tr>
      <w:tr>
        <w:tc>
          <w:tcPr>
            <w:tcW w:type="dxa" w:w="2154"/>
          </w:tcPr>
          <w:p>
            <w:pPr>
              <w:spacing w:after="20"/>
            </w:pPr>
            <w:r/>
            <w:r>
              <w:rPr>
                <w:sz w:val="19"/>
              </w:rPr>
              <w:t>Matière active</w:t>
            </w:r>
          </w:p>
        </w:tc>
        <w:tc>
          <w:tcPr>
            <w:tcW w:type="dxa" w:w="7483"/>
          </w:tcPr>
          <w:p>
            <w:pPr>
              <w:spacing w:after="20"/>
            </w:pPr>
            <w:r/>
            <w:r>
              <w:rPr>
                <w:sz w:val="19"/>
              </w:rPr>
              <w:t>Substance qui donne au produit phytosanitaire son effet (insecticide, herbicide…)</w:t>
            </w:r>
          </w:p>
        </w:tc>
      </w:tr>
      <w:tr>
        <w:tc>
          <w:tcPr>
            <w:tcW w:type="dxa" w:w="2154"/>
          </w:tcPr>
          <w:p>
            <w:pPr>
              <w:spacing w:after="20"/>
            </w:pPr>
            <w:r/>
            <w:r>
              <w:rPr>
                <w:sz w:val="19"/>
              </w:rPr>
              <w:t>Co-formulant</w:t>
            </w:r>
          </w:p>
        </w:tc>
        <w:tc>
          <w:tcPr>
            <w:tcW w:type="dxa" w:w="7483"/>
          </w:tcPr>
          <w:p>
            <w:pPr>
              <w:spacing w:after="20"/>
            </w:pPr>
            <w:r/>
            <w:r>
              <w:rPr>
                <w:sz w:val="19"/>
              </w:rPr>
              <w:t>Substance ajoutée à la matière active (solvant, émulsifiant…) pour obtenir le produit final</w:t>
            </w:r>
          </w:p>
        </w:tc>
      </w:tr>
      <w:tr>
        <w:tc>
          <w:tcPr>
            <w:tcW w:type="dxa" w:w="2154"/>
          </w:tcPr>
          <w:p>
            <w:pPr>
              <w:spacing w:after="20"/>
            </w:pPr>
            <w:r/>
            <w:r>
              <w:rPr>
                <w:sz w:val="19"/>
              </w:rPr>
              <w:t>Formule</w:t>
            </w:r>
          </w:p>
        </w:tc>
        <w:tc>
          <w:tcPr>
            <w:tcW w:type="dxa" w:w="7483"/>
          </w:tcPr>
          <w:p>
            <w:pPr>
              <w:spacing w:after="20"/>
            </w:pPr>
            <w:r/>
            <w:r>
              <w:rPr>
                <w:sz w:val="19"/>
              </w:rPr>
              <w:t>Recette d'un produit : liste des composants, proportions et mode opératoire</w:t>
            </w:r>
          </w:p>
        </w:tc>
      </w:tr>
      <w:tr>
        <w:tc>
          <w:tcPr>
            <w:tcW w:type="dxa" w:w="2154"/>
          </w:tcPr>
          <w:p>
            <w:pPr>
              <w:spacing w:after="20"/>
            </w:pPr>
            <w:r/>
            <w:r>
              <w:rPr>
                <w:sz w:val="19"/>
              </w:rPr>
              <w:t>Lot</w:t>
            </w:r>
          </w:p>
        </w:tc>
        <w:tc>
          <w:tcPr>
            <w:tcW w:type="dxa" w:w="7483"/>
          </w:tcPr>
          <w:p>
            <w:pPr>
              <w:spacing w:after="20"/>
            </w:pPr>
            <w:r/>
            <w:r>
              <w:rPr>
                <w:sz w:val="19"/>
              </w:rPr>
              <w:t>Quantité de produit fabriquée en une fois, identifiée par un numéro unique</w:t>
            </w:r>
          </w:p>
        </w:tc>
      </w:tr>
      <w:tr>
        <w:tc>
          <w:tcPr>
            <w:tcW w:type="dxa" w:w="2154"/>
          </w:tcPr>
          <w:p>
            <w:pPr>
              <w:spacing w:after="20"/>
            </w:pPr>
            <w:r/>
            <w:r>
              <w:rPr>
                <w:sz w:val="19"/>
              </w:rPr>
              <w:t>Libération d'un lot</w:t>
            </w:r>
          </w:p>
        </w:tc>
        <w:tc>
          <w:tcPr>
            <w:tcW w:type="dxa" w:w="7483"/>
          </w:tcPr>
          <w:p>
            <w:pPr>
              <w:spacing w:after="20"/>
            </w:pPr>
            <w:r/>
            <w:r>
              <w:rPr>
                <w:sz w:val="19"/>
              </w:rPr>
              <w:t>Décision du laboratoire autorisant la vente d'un lot conforme</w:t>
            </w:r>
          </w:p>
        </w:tc>
      </w:tr>
      <w:tr>
        <w:tc>
          <w:tcPr>
            <w:tcW w:type="dxa" w:w="2154"/>
          </w:tcPr>
          <w:p>
            <w:pPr>
              <w:spacing w:after="20"/>
            </w:pPr>
            <w:r/>
            <w:r>
              <w:rPr>
                <w:sz w:val="19"/>
              </w:rPr>
              <w:t>FEFO</w:t>
            </w:r>
          </w:p>
        </w:tc>
        <w:tc>
          <w:tcPr>
            <w:tcW w:type="dxa" w:w="7483"/>
          </w:tcPr>
          <w:p>
            <w:pPr>
              <w:spacing w:after="20"/>
            </w:pPr>
            <w:r/>
            <w:r>
              <w:rPr>
                <w:sz w:val="19"/>
              </w:rPr>
              <w:t>First Expired, First Out : on utilise d'abord ce qui périme le plus tôt</w:t>
            </w:r>
          </w:p>
        </w:tc>
      </w:tr>
      <w:tr>
        <w:tc>
          <w:tcPr>
            <w:tcW w:type="dxa" w:w="2154"/>
          </w:tcPr>
          <w:p>
            <w:pPr>
              <w:spacing w:after="20"/>
            </w:pPr>
            <w:r/>
            <w:r>
              <w:rPr>
                <w:sz w:val="19"/>
              </w:rPr>
              <w:t>FDS</w:t>
            </w:r>
          </w:p>
        </w:tc>
        <w:tc>
          <w:tcPr>
            <w:tcW w:type="dxa" w:w="7483"/>
          </w:tcPr>
          <w:p>
            <w:pPr>
              <w:spacing w:after="20"/>
            </w:pPr>
            <w:r/>
            <w:r>
              <w:rPr>
                <w:sz w:val="19"/>
              </w:rPr>
              <w:t>Fiche de données de sécurité : document décrivant les dangers d'un produit et les précautions à prendre</w:t>
            </w:r>
          </w:p>
        </w:tc>
      </w:tr>
      <w:tr>
        <w:tc>
          <w:tcPr>
            <w:tcW w:type="dxa" w:w="2154"/>
          </w:tcPr>
          <w:p>
            <w:pPr>
              <w:spacing w:after="20"/>
            </w:pPr>
            <w:r/>
            <w:r>
              <w:rPr>
                <w:sz w:val="19"/>
              </w:rPr>
              <w:t>Traçabilité</w:t>
            </w:r>
          </w:p>
        </w:tc>
        <w:tc>
          <w:tcPr>
            <w:tcW w:type="dxa" w:w="7483"/>
          </w:tcPr>
          <w:p>
            <w:pPr>
              <w:spacing w:after="20"/>
            </w:pPr>
            <w:r/>
            <w:r>
              <w:rPr>
                <w:sz w:val="19"/>
              </w:rPr>
              <w:t>Capacité à retrouver l'origine et le parcours d'un lot</w:t>
            </w:r>
          </w:p>
        </w:tc>
      </w:tr>
      <w:tr>
        <w:tc>
          <w:tcPr>
            <w:tcW w:type="dxa" w:w="2154"/>
          </w:tcPr>
          <w:p>
            <w:pPr>
              <w:spacing w:after="20"/>
            </w:pPr>
            <w:r/>
            <w:r>
              <w:rPr>
                <w:sz w:val="19"/>
              </w:rPr>
              <w:t>MVP</w:t>
            </w:r>
          </w:p>
        </w:tc>
        <w:tc>
          <w:tcPr>
            <w:tcW w:type="dxa" w:w="7483"/>
          </w:tcPr>
          <w:p>
            <w:pPr>
              <w:spacing w:after="20"/>
            </w:pPr>
            <w:r/>
            <w:r>
              <w:rPr>
                <w:sz w:val="19"/>
              </w:rPr>
              <w:t>Minimum Viable Product : première version contenant uniquement l'essentiel</w:t>
            </w:r>
          </w:p>
        </w:tc>
      </w:tr>
      <w:tr>
        <w:tc>
          <w:tcPr>
            <w:tcW w:type="dxa" w:w="2154"/>
          </w:tcPr>
          <w:p>
            <w:pPr>
              <w:spacing w:after="20"/>
            </w:pPr>
            <w:r/>
            <w:r>
              <w:rPr>
                <w:sz w:val="19"/>
              </w:rPr>
              <w:t>MoSCoW</w:t>
            </w:r>
          </w:p>
        </w:tc>
        <w:tc>
          <w:tcPr>
            <w:tcW w:type="dxa" w:w="7483"/>
          </w:tcPr>
          <w:p>
            <w:pPr>
              <w:spacing w:after="20"/>
            </w:pPr>
            <w:r/>
            <w:r>
              <w:rPr>
                <w:sz w:val="19"/>
              </w:rPr>
              <w:t>Méthode de priorisation : Must, Should, Could, Won't</w:t>
            </w:r>
          </w:p>
        </w:tc>
      </w:tr>
      <w:tr>
        <w:tc>
          <w:tcPr>
            <w:tcW w:type="dxa" w:w="2154"/>
          </w:tcPr>
          <w:p>
            <w:pPr>
              <w:spacing w:after="20"/>
            </w:pPr>
            <w:r/>
            <w:r>
              <w:rPr>
                <w:sz w:val="19"/>
              </w:rPr>
              <w:t>QHSE</w:t>
            </w:r>
          </w:p>
        </w:tc>
        <w:tc>
          <w:tcPr>
            <w:tcW w:type="dxa" w:w="7483"/>
          </w:tcPr>
          <w:p>
            <w:pPr>
              <w:spacing w:after="20"/>
            </w:pPr>
            <w:r/>
            <w:r>
              <w:rPr>
                <w:sz w:val="19"/>
              </w:rPr>
              <w:t>Qualité, Hygiène, Sécurité, Environnement</w:t>
            </w:r>
          </w:p>
        </w:tc>
      </w:tr>
    </w:tbl>
    <w:p>
      <w:pPr>
        <w:spacing w:after="40"/>
      </w:pPr>
    </w:p>
    <w:p>
      <w:pPr>
        <w:spacing w:before="200" w:after="80"/>
        <w:pBdr>
          <w:bottom w:val="single" w:sz="6" w:color="1E6B34"/>
        </w:pBdr>
      </w:pPr>
      <w:r>
        <w:rPr>
          <w:b/>
          <w:color w:val="1E6B34"/>
          <w:sz w:val="25"/>
        </w:rPr>
        <w:t>14. POINTS À PRÉCISER AVEC L'ENTREPRISE</w:t>
      </w:r>
    </w:p>
    <w:p>
      <w:pPr>
        <w:jc w:val="both"/>
      </w:pPr>
      <w:r>
        <w:t>Les points suivants seront confirmés avec le service informatique d'AF-CHEM SOFACO avant le démarrage des maquettes :</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9"/>
        <w:gridCol w:w="4819"/>
      </w:tblGrid>
      <w:tr>
        <w:tc>
          <w:tcPr>
            <w:tcW w:type="dxa" w:w="2268"/>
            <w:shd w:val="clear" w:color="auto" w:fill="1E6B34"/>
          </w:tcPr>
          <w:p>
            <w:pPr>
              <w:spacing w:after="20"/>
            </w:pPr>
            <w:r/>
            <w:r>
              <w:rPr>
                <w:b/>
                <w:color w:val="FFFFFF"/>
                <w:sz w:val="19"/>
              </w:rPr>
              <w:t>Sujet</w:t>
            </w:r>
          </w:p>
        </w:tc>
        <w:tc>
          <w:tcPr>
            <w:tcW w:type="dxa" w:w="7370"/>
            <w:shd w:val="clear" w:color="auto" w:fill="1E6B34"/>
          </w:tcPr>
          <w:p>
            <w:pPr>
              <w:spacing w:after="20"/>
            </w:pPr>
            <w:r/>
            <w:r>
              <w:rPr>
                <w:b/>
                <w:color w:val="FFFFFF"/>
                <w:sz w:val="19"/>
              </w:rPr>
              <w:t>Question à poser</w:t>
            </w:r>
          </w:p>
        </w:tc>
      </w:tr>
      <w:tr>
        <w:tc>
          <w:tcPr>
            <w:tcW w:type="dxa" w:w="2268"/>
          </w:tcPr>
          <w:p>
            <w:pPr>
              <w:spacing w:after="20"/>
            </w:pPr>
            <w:r/>
            <w:r>
              <w:rPr>
                <w:sz w:val="19"/>
              </w:rPr>
              <w:t>Outils actuels</w:t>
            </w:r>
          </w:p>
        </w:tc>
        <w:tc>
          <w:tcPr>
            <w:tcW w:type="dxa" w:w="7370"/>
          </w:tcPr>
          <w:p>
            <w:pPr>
              <w:spacing w:after="20"/>
            </w:pPr>
            <w:r/>
            <w:r>
              <w:rPr>
                <w:sz w:val="19"/>
              </w:rPr>
              <w:t>Comment sont suivis aujourd'hui les formules, les lots et les stocks (registres, Excel, ERP) ? Un logiciel existant doit-il échanger des données avec PhytoTrace ?</w:t>
            </w:r>
          </w:p>
        </w:tc>
      </w:tr>
      <w:tr>
        <w:tc>
          <w:tcPr>
            <w:tcW w:type="dxa" w:w="2268"/>
          </w:tcPr>
          <w:p>
            <w:pPr>
              <w:spacing w:after="20"/>
            </w:pPr>
            <w:r/>
            <w:r>
              <w:rPr>
                <w:sz w:val="19"/>
              </w:rPr>
              <w:t>Priorités</w:t>
            </w:r>
          </w:p>
        </w:tc>
        <w:tc>
          <w:tcPr>
            <w:tcW w:type="dxa" w:w="7370"/>
          </w:tcPr>
          <w:p>
            <w:pPr>
              <w:spacing w:after="20"/>
            </w:pPr>
            <w:r/>
            <w:r>
              <w:rPr>
                <w:sz w:val="19"/>
              </w:rPr>
              <w:t>Les exigences classées Must correspondent-elles aux vrais besoins de l'entreprise ?</w:t>
            </w:r>
          </w:p>
        </w:tc>
      </w:tr>
      <w:tr>
        <w:tc>
          <w:tcPr>
            <w:tcW w:type="dxa" w:w="2268"/>
          </w:tcPr>
          <w:p>
            <w:pPr>
              <w:spacing w:after="20"/>
            </w:pPr>
            <w:r/>
            <w:r>
              <w:rPr>
                <w:sz w:val="19"/>
              </w:rPr>
              <w:t>Numérotation des lots</w:t>
            </w:r>
          </w:p>
        </w:tc>
        <w:tc>
          <w:tcPr>
            <w:tcW w:type="dxa" w:w="7370"/>
          </w:tcPr>
          <w:p>
            <w:pPr>
              <w:spacing w:after="20"/>
            </w:pPr>
            <w:r/>
            <w:r>
              <w:rPr>
                <w:sz w:val="19"/>
              </w:rPr>
              <w:t>Quelle est la règle actuelle de numérotation des lots (RG1) ?</w:t>
            </w:r>
          </w:p>
        </w:tc>
      </w:tr>
      <w:tr>
        <w:tc>
          <w:tcPr>
            <w:tcW w:type="dxa" w:w="2268"/>
          </w:tcPr>
          <w:p>
            <w:pPr>
              <w:spacing w:after="20"/>
            </w:pPr>
            <w:r/>
            <w:r>
              <w:rPr>
                <w:sz w:val="19"/>
              </w:rPr>
              <w:t>Contrôle qualité</w:t>
            </w:r>
          </w:p>
        </w:tc>
        <w:tc>
          <w:tcPr>
            <w:tcW w:type="dxa" w:w="7370"/>
          </w:tcPr>
          <w:p>
            <w:pPr>
              <w:spacing w:after="20"/>
            </w:pPr>
            <w:r/>
            <w:r>
              <w:rPr>
                <w:sz w:val="19"/>
              </w:rPr>
              <w:t>Quelles analyses le laboratoire réalise-t-il sur un lot et qui décide de sa libération ?</w:t>
            </w:r>
          </w:p>
        </w:tc>
      </w:tr>
      <w:tr>
        <w:tc>
          <w:tcPr>
            <w:tcW w:type="dxa" w:w="2268"/>
          </w:tcPr>
          <w:p>
            <w:pPr>
              <w:spacing w:after="20"/>
            </w:pPr>
            <w:r/>
            <w:r>
              <w:rPr>
                <w:sz w:val="19"/>
              </w:rPr>
              <w:t>Stocks</w:t>
            </w:r>
          </w:p>
        </w:tc>
        <w:tc>
          <w:tcPr>
            <w:tcW w:type="dxa" w:w="7370"/>
          </w:tcPr>
          <w:p>
            <w:pPr>
              <w:spacing w:after="20"/>
            </w:pPr>
            <w:r/>
            <w:r>
              <w:rPr>
                <w:sz w:val="19"/>
              </w:rPr>
              <w:t>Combien de magasins ou entrepôts ? Les lots et dates de péremption des matières premières sont-ils suivis ?</w:t>
            </w:r>
          </w:p>
        </w:tc>
      </w:tr>
      <w:tr>
        <w:tc>
          <w:tcPr>
            <w:tcW w:type="dxa" w:w="2268"/>
          </w:tcPr>
          <w:p>
            <w:pPr>
              <w:spacing w:after="20"/>
            </w:pPr>
            <w:r/>
            <w:r>
              <w:rPr>
                <w:sz w:val="19"/>
              </w:rPr>
              <w:t>Utilisateurs</w:t>
            </w:r>
          </w:p>
        </w:tc>
        <w:tc>
          <w:tcPr>
            <w:tcW w:type="dxa" w:w="7370"/>
          </w:tcPr>
          <w:p>
            <w:pPr>
              <w:spacing w:after="20"/>
            </w:pPr>
            <w:r/>
            <w:r>
              <w:rPr>
                <w:sz w:val="19"/>
              </w:rPr>
              <w:t>Combien de personnes par rôle ? Faut-il d'autres rôles que ceux de la section 4 ?</w:t>
            </w:r>
          </w:p>
        </w:tc>
      </w:tr>
      <w:tr>
        <w:tc>
          <w:tcPr>
            <w:tcW w:type="dxa" w:w="2268"/>
          </w:tcPr>
          <w:p>
            <w:pPr>
              <w:spacing w:after="20"/>
            </w:pPr>
            <w:r/>
            <w:r>
              <w:rPr>
                <w:sz w:val="19"/>
              </w:rPr>
              <w:t>Postes et réseau</w:t>
            </w:r>
          </w:p>
        </w:tc>
        <w:tc>
          <w:tcPr>
            <w:tcW w:type="dxa" w:w="7370"/>
          </w:tcPr>
          <w:p>
            <w:pPr>
              <w:spacing w:after="20"/>
            </w:pPr>
            <w:r/>
            <w:r>
              <w:rPr>
                <w:sz w:val="19"/>
              </w:rPr>
              <w:t>Quels appareils dans les usines et le magasin ? La connexion est-elle disponible partout ?</w:t>
            </w:r>
          </w:p>
        </w:tc>
      </w:tr>
      <w:tr>
        <w:tc>
          <w:tcPr>
            <w:tcW w:type="dxa" w:w="2268"/>
          </w:tcPr>
          <w:p>
            <w:pPr>
              <w:spacing w:after="20"/>
            </w:pPr>
            <w:r/>
            <w:r>
              <w:rPr>
                <w:sz w:val="19"/>
              </w:rPr>
              <w:t>Hébergement et sécurité</w:t>
            </w:r>
          </w:p>
        </w:tc>
        <w:tc>
          <w:tcPr>
            <w:tcW w:type="dxa" w:w="7370"/>
          </w:tcPr>
          <w:p>
            <w:pPr>
              <w:spacing w:after="20"/>
            </w:pPr>
            <w:r/>
            <w:r>
              <w:rPr>
                <w:sz w:val="19"/>
              </w:rPr>
              <w:t>Serveur interne ou hébergeur externe ? Règles de sécurité, de mots de passe et de sauvegarde imposées ?</w:t>
            </w:r>
          </w:p>
        </w:tc>
      </w:tr>
      <w:tr>
        <w:tc>
          <w:tcPr>
            <w:tcW w:type="dxa" w:w="2268"/>
          </w:tcPr>
          <w:p>
            <w:pPr>
              <w:spacing w:after="20"/>
            </w:pPr>
            <w:r/>
            <w:r>
              <w:rPr>
                <w:sz w:val="19"/>
              </w:rPr>
              <w:t>Fiches de sécurité</w:t>
            </w:r>
          </w:p>
        </w:tc>
        <w:tc>
          <w:tcPr>
            <w:tcW w:type="dxa" w:w="7370"/>
          </w:tcPr>
          <w:p>
            <w:pPr>
              <w:spacing w:after="20"/>
            </w:pPr>
            <w:r/>
            <w:r>
              <w:rPr>
                <w:sz w:val="19"/>
              </w:rPr>
              <w:t>Où sont stockées les FDS aujourd'hui et qui les met à jour ?</w:t>
            </w:r>
          </w:p>
        </w:tc>
      </w:tr>
      <w:tr>
        <w:tc>
          <w:tcPr>
            <w:tcW w:type="dxa" w:w="2268"/>
          </w:tcPr>
          <w:p>
            <w:pPr>
              <w:spacing w:after="20"/>
            </w:pPr>
            <w:r/>
            <w:r>
              <w:rPr>
                <w:sz w:val="19"/>
              </w:rPr>
              <w:t>Données de test</w:t>
            </w:r>
          </w:p>
        </w:tc>
        <w:tc>
          <w:tcPr>
            <w:tcW w:type="dxa" w:w="7370"/>
          </w:tcPr>
          <w:p>
            <w:pPr>
              <w:spacing w:after="20"/>
            </w:pPr>
            <w:r/>
            <w:r>
              <w:rPr>
                <w:sz w:val="19"/>
              </w:rPr>
              <w:t>L'entreprise peut-elle fournir des exemples anonymisés (fiche de lot, état de stock) pour les maquettes ?</w:t>
            </w:r>
          </w:p>
        </w:tc>
      </w:tr>
    </w:tbl>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