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E8F56" w14:textId="77777777" w:rsidR="00FA1481" w:rsidRDefault="00FA1481" w:rsidP="00E46984">
      <w:pPr>
        <w:jc w:val="both"/>
        <w:rPr>
          <w:sz w:val="36"/>
          <w:szCs w:val="36"/>
        </w:rPr>
      </w:pPr>
    </w:p>
    <w:p w14:paraId="487DBB65" w14:textId="77777777" w:rsidR="00CE6EAA" w:rsidRPr="00BF1BF9" w:rsidRDefault="00E20557" w:rsidP="006B7288">
      <w:pPr>
        <w:spacing w:before="100" w:beforeAutospacing="1" w:after="100" w:afterAutospacing="1"/>
        <w:jc w:val="center"/>
        <w:rPr>
          <w:rFonts w:ascii="Myriad Pro" w:hAnsi="Myriad Pro"/>
          <w:i/>
          <w:sz w:val="22"/>
          <w:szCs w:val="22"/>
        </w:rPr>
      </w:pPr>
      <w:r w:rsidRPr="00E20557">
        <w:rPr>
          <w:rFonts w:ascii="Myriad Pro" w:hAnsi="Myriad Pro"/>
          <w:i/>
          <w:sz w:val="22"/>
          <w:szCs w:val="22"/>
        </w:rPr>
        <w:t>Journal of Geophysical Research: Solid Earth</w:t>
      </w:r>
    </w:p>
    <w:p w14:paraId="1A8AF3C6" w14:textId="77777777" w:rsidR="00FF3503" w:rsidRPr="00CE6EAA" w:rsidRDefault="00FF3503" w:rsidP="006B7288">
      <w:pPr>
        <w:spacing w:before="100" w:beforeAutospacing="1" w:after="100" w:afterAutospacing="1"/>
        <w:jc w:val="center"/>
        <w:rPr>
          <w:rFonts w:ascii="Myriad Pro" w:hAnsi="Myriad Pro"/>
          <w:sz w:val="22"/>
          <w:szCs w:val="22"/>
        </w:rPr>
      </w:pPr>
      <w:r w:rsidRPr="00CE6EAA">
        <w:rPr>
          <w:rFonts w:ascii="Myriad Pro" w:hAnsi="Myriad Pro"/>
          <w:sz w:val="22"/>
          <w:szCs w:val="22"/>
        </w:rPr>
        <w:t>Supporting Information for</w:t>
      </w:r>
    </w:p>
    <w:p w14:paraId="5FB6C3DA" w14:textId="77777777" w:rsidR="00FF3503" w:rsidRPr="00B77E40" w:rsidRDefault="002B5666" w:rsidP="006B7288">
      <w:pPr>
        <w:spacing w:before="100" w:beforeAutospacing="1" w:after="100" w:afterAutospacing="1"/>
        <w:jc w:val="center"/>
        <w:rPr>
          <w:rFonts w:ascii="Myriad Pro" w:hAnsi="Myriad Pro"/>
          <w:b/>
          <w:sz w:val="22"/>
          <w:szCs w:val="22"/>
        </w:rPr>
      </w:pPr>
      <w:r w:rsidRPr="002B5666">
        <w:rPr>
          <w:rFonts w:ascii="Myriad Pro" w:hAnsi="Myriad Pro"/>
          <w:b/>
          <w:sz w:val="22"/>
          <w:szCs w:val="22"/>
        </w:rPr>
        <w:t>Ranking Thermobarometers: An Artificial Intelligence-Based Framework for Selecting Clinopyroxene-Based Models</w:t>
      </w:r>
    </w:p>
    <w:p w14:paraId="018462A2" w14:textId="77777777" w:rsidR="00F77EA0" w:rsidRDefault="00F77EA0" w:rsidP="006B7288">
      <w:pPr>
        <w:spacing w:before="100" w:beforeAutospacing="1" w:after="100" w:afterAutospacing="1"/>
        <w:jc w:val="center"/>
        <w:rPr>
          <w:rFonts w:ascii="Myriad Pro" w:hAnsi="Myriad Pro"/>
          <w:sz w:val="18"/>
          <w:szCs w:val="18"/>
        </w:rPr>
      </w:pPr>
      <w:r w:rsidRPr="00F77EA0">
        <w:rPr>
          <w:rFonts w:ascii="Myriad Pro" w:hAnsi="Myriad Pro"/>
          <w:sz w:val="22"/>
          <w:szCs w:val="22"/>
        </w:rPr>
        <w:t>Xiaoyu Liu</w:t>
      </w:r>
      <w:r w:rsidRPr="00F77EA0">
        <w:rPr>
          <w:rFonts w:ascii="Myriad Pro" w:hAnsi="Myriad Pro" w:hint="eastAsia"/>
          <w:sz w:val="22"/>
          <w:szCs w:val="22"/>
          <w:vertAlign w:val="superscript"/>
          <w:lang w:eastAsia="zh-CN"/>
        </w:rPr>
        <w:t>1</w:t>
      </w:r>
      <w:r>
        <w:rPr>
          <w:rFonts w:ascii="Myriad Pro" w:hAnsi="Myriad Pro" w:hint="eastAsia"/>
          <w:sz w:val="22"/>
          <w:szCs w:val="22"/>
          <w:lang w:eastAsia="zh-CN"/>
        </w:rPr>
        <w:t>, W</w:t>
      </w:r>
      <w:r w:rsidRPr="00F77EA0">
        <w:rPr>
          <w:rFonts w:ascii="Myriad Pro" w:hAnsi="Myriad Pro"/>
          <w:sz w:val="22"/>
          <w:szCs w:val="22"/>
        </w:rPr>
        <w:t>eiran Li</w:t>
      </w:r>
      <w:r w:rsidRPr="00F77EA0">
        <w:rPr>
          <w:rFonts w:ascii="Myriad Pro" w:hAnsi="Myriad Pro" w:hint="eastAsia"/>
          <w:sz w:val="22"/>
          <w:szCs w:val="22"/>
          <w:vertAlign w:val="superscript"/>
          <w:lang w:eastAsia="zh-CN"/>
        </w:rPr>
        <w:t>1</w:t>
      </w:r>
    </w:p>
    <w:p w14:paraId="4EC88B8F" w14:textId="77777777" w:rsidR="00094365" w:rsidRPr="00CE6EAA" w:rsidRDefault="00F77EA0" w:rsidP="006B7288">
      <w:pPr>
        <w:spacing w:before="100" w:beforeAutospacing="1" w:after="100" w:afterAutospacing="1"/>
        <w:jc w:val="center"/>
        <w:rPr>
          <w:rFonts w:ascii="Myriad Pro" w:hAnsi="Myriad Pro"/>
          <w:sz w:val="22"/>
          <w:szCs w:val="22"/>
        </w:rPr>
      </w:pPr>
      <w:r w:rsidRPr="00F77EA0">
        <w:rPr>
          <w:rFonts w:ascii="Myriad Pro" w:hAnsi="Myriad Pro" w:hint="eastAsia"/>
          <w:sz w:val="18"/>
          <w:szCs w:val="18"/>
          <w:vertAlign w:val="superscript"/>
          <w:lang w:eastAsia="zh-CN"/>
        </w:rPr>
        <w:t>1</w:t>
      </w:r>
      <w:r>
        <w:rPr>
          <w:rFonts w:ascii="Myriad Pro" w:hAnsi="Myriad Pro" w:hint="eastAsia"/>
          <w:sz w:val="18"/>
          <w:szCs w:val="18"/>
          <w:lang w:eastAsia="zh-CN"/>
        </w:rPr>
        <w:t xml:space="preserve"> D</w:t>
      </w:r>
      <w:r w:rsidRPr="00F77EA0">
        <w:rPr>
          <w:rFonts w:ascii="Myriad Pro" w:hAnsi="Myriad Pro"/>
          <w:sz w:val="18"/>
          <w:szCs w:val="18"/>
        </w:rPr>
        <w:t>epartment of Earth and Planetary Sciences, The University of Hong Kong, Hong Kong SAR, China</w:t>
      </w:r>
    </w:p>
    <w:p w14:paraId="7E9EDB51" w14:textId="77777777" w:rsidR="00094365" w:rsidRPr="00CE6EAA" w:rsidRDefault="00094365" w:rsidP="00E46984">
      <w:pPr>
        <w:spacing w:before="100" w:beforeAutospacing="1" w:after="100" w:afterAutospacing="1"/>
        <w:jc w:val="both"/>
        <w:rPr>
          <w:rFonts w:ascii="Myriad Pro" w:hAnsi="Myriad Pro"/>
          <w:sz w:val="22"/>
          <w:szCs w:val="22"/>
        </w:rPr>
      </w:pPr>
    </w:p>
    <w:p w14:paraId="2F50AD16" w14:textId="77777777" w:rsidR="00111843" w:rsidRDefault="00111843" w:rsidP="00E46984">
      <w:pPr>
        <w:jc w:val="both"/>
        <w:rPr>
          <w:rFonts w:ascii="Myriad Pro" w:hAnsi="Myriad Pro"/>
          <w:b/>
        </w:rPr>
      </w:pPr>
      <w:r w:rsidRPr="00CE6EAA">
        <w:rPr>
          <w:rFonts w:ascii="Myriad Pro" w:hAnsi="Myriad Pro"/>
          <w:b/>
        </w:rPr>
        <w:t>Contents of this file</w:t>
      </w:r>
      <w:r w:rsidR="00E43D2D">
        <w:rPr>
          <w:rFonts w:ascii="Myriad Pro" w:hAnsi="Myriad Pro"/>
          <w:b/>
        </w:rPr>
        <w:t xml:space="preserve"> </w:t>
      </w:r>
    </w:p>
    <w:p w14:paraId="450CE5CE" w14:textId="77777777" w:rsidR="00E43D2D" w:rsidRPr="00E40896" w:rsidRDefault="00E43D2D" w:rsidP="00E46984">
      <w:pPr>
        <w:jc w:val="both"/>
        <w:rPr>
          <w:rFonts w:ascii="Myriad Pro" w:hAnsi="Myriad Pro"/>
        </w:rPr>
      </w:pPr>
    </w:p>
    <w:p w14:paraId="1AD8EE40" w14:textId="36781BE8" w:rsidR="00E46984" w:rsidRDefault="00E20557" w:rsidP="002B5666">
      <w:pPr>
        <w:ind w:left="720"/>
        <w:rPr>
          <w:rFonts w:ascii="Myriad Pro" w:hAnsi="Myriad Pro"/>
          <w:sz w:val="22"/>
          <w:szCs w:val="22"/>
        </w:rPr>
      </w:pPr>
      <w:r>
        <w:t>Text S1</w:t>
      </w:r>
      <w:r>
        <w:br/>
        <w:t>Figures S1 to S1</w:t>
      </w:r>
      <w:r w:rsidR="006979A6">
        <w:rPr>
          <w:rFonts w:hint="eastAsia"/>
          <w:lang w:eastAsia="zh-CN"/>
        </w:rPr>
        <w:t>7</w:t>
      </w:r>
      <w:r>
        <w:br/>
      </w:r>
    </w:p>
    <w:p w14:paraId="0F38BBA2" w14:textId="77777777" w:rsidR="002B5666" w:rsidRDefault="002B5666" w:rsidP="002B5666">
      <w:pPr>
        <w:rPr>
          <w:rFonts w:ascii="Myriad Pro" w:hAnsi="Myriad Pro"/>
          <w:b/>
          <w:lang w:eastAsia="zh-CN"/>
        </w:rPr>
      </w:pPr>
      <w:r w:rsidRPr="00CE6EAA">
        <w:rPr>
          <w:rFonts w:ascii="Myriad Pro" w:hAnsi="Myriad Pro"/>
          <w:b/>
        </w:rPr>
        <w:t>Additional Supporting Information (Files uploaded separately)</w:t>
      </w:r>
    </w:p>
    <w:p w14:paraId="0E82FA0A" w14:textId="77777777" w:rsidR="002B5666" w:rsidRPr="002B5666" w:rsidRDefault="002B5666" w:rsidP="002B5666">
      <w:pPr>
        <w:rPr>
          <w:rFonts w:ascii="Myriad Pro" w:hAnsi="Myriad Pro"/>
          <w:b/>
          <w:lang w:eastAsia="zh-CN"/>
        </w:rPr>
      </w:pPr>
    </w:p>
    <w:p w14:paraId="51BF1059" w14:textId="77777777" w:rsidR="002B5666" w:rsidRDefault="002B5666" w:rsidP="002B5666">
      <w:pPr>
        <w:ind w:left="720"/>
        <w:rPr>
          <w:rFonts w:ascii="Myriad Pro" w:hAnsi="Myriad Pro"/>
          <w:sz w:val="22"/>
          <w:szCs w:val="22"/>
        </w:rPr>
      </w:pPr>
      <w:r w:rsidRPr="002B5666">
        <w:rPr>
          <w:rFonts w:ascii="Myriad Pro" w:hAnsi="Myriad Pro"/>
          <w:sz w:val="22"/>
          <w:szCs w:val="22"/>
        </w:rPr>
        <w:t xml:space="preserve">Table S1. </w:t>
      </w:r>
      <w:r>
        <w:rPr>
          <w:rFonts w:ascii="Myriad Pro" w:hAnsi="Myriad Pro" w:hint="eastAsia"/>
          <w:sz w:val="22"/>
          <w:szCs w:val="22"/>
          <w:lang w:eastAsia="zh-CN"/>
        </w:rPr>
        <w:t>C</w:t>
      </w:r>
      <w:r w:rsidRPr="002B5666">
        <w:rPr>
          <w:rFonts w:ascii="Myriad Pro" w:hAnsi="Myriad Pro"/>
          <w:sz w:val="22"/>
          <w:szCs w:val="22"/>
        </w:rPr>
        <w:t xml:space="preserve">leaned independent dataset used to develop and test the AIMS4PT_cpx framework </w:t>
      </w:r>
    </w:p>
    <w:p w14:paraId="29E30172" w14:textId="77777777" w:rsidR="002D62B0" w:rsidRPr="002B5666" w:rsidRDefault="002D62B0" w:rsidP="002B5666">
      <w:pPr>
        <w:ind w:left="720"/>
        <w:rPr>
          <w:rFonts w:ascii="Myriad Pro" w:hAnsi="Myriad Pro"/>
          <w:sz w:val="22"/>
          <w:szCs w:val="22"/>
        </w:rPr>
      </w:pPr>
    </w:p>
    <w:p w14:paraId="04BB4776" w14:textId="77777777" w:rsidR="002D62B0" w:rsidRDefault="002B5666" w:rsidP="002D62B0">
      <w:pPr>
        <w:ind w:left="720"/>
        <w:rPr>
          <w:rFonts w:ascii="Myriad Pro" w:hAnsi="Myriad Pro"/>
          <w:sz w:val="22"/>
          <w:szCs w:val="22"/>
          <w:lang w:eastAsia="zh-CN"/>
        </w:rPr>
      </w:pPr>
      <w:r w:rsidRPr="002B5666">
        <w:rPr>
          <w:rFonts w:ascii="Myriad Pro" w:hAnsi="Myriad Pro" w:hint="eastAsia"/>
          <w:sz w:val="22"/>
          <w:szCs w:val="22"/>
        </w:rPr>
        <w:t xml:space="preserve">Table S2. </w:t>
      </w:r>
      <w:r w:rsidR="006B7288">
        <w:rPr>
          <w:rFonts w:ascii="Myriad Pro" w:hAnsi="Myriad Pro" w:hint="eastAsia"/>
          <w:sz w:val="22"/>
          <w:szCs w:val="22"/>
          <w:lang w:eastAsia="zh-CN"/>
        </w:rPr>
        <w:t>C</w:t>
      </w:r>
      <w:r w:rsidR="006B7288" w:rsidRPr="006B7288">
        <w:rPr>
          <w:rFonts w:ascii="Myriad Pro" w:hAnsi="Myriad Pro"/>
          <w:sz w:val="22"/>
          <w:szCs w:val="22"/>
        </w:rPr>
        <w:t>linopyroxene compositions from Merapi volcano used for temperature-pressure calculation</w:t>
      </w:r>
    </w:p>
    <w:p w14:paraId="1FB13390" w14:textId="77777777" w:rsidR="002D62B0" w:rsidRPr="002B5666" w:rsidRDefault="002D62B0" w:rsidP="002D62B0">
      <w:pPr>
        <w:ind w:left="720"/>
        <w:rPr>
          <w:rFonts w:ascii="Myriad Pro" w:hAnsi="Myriad Pro"/>
          <w:sz w:val="22"/>
          <w:szCs w:val="22"/>
          <w:lang w:eastAsia="zh-CN"/>
        </w:rPr>
      </w:pPr>
    </w:p>
    <w:p w14:paraId="6C13EFE7" w14:textId="77777777" w:rsidR="002B5666" w:rsidRDefault="002B5666" w:rsidP="002B5666">
      <w:pPr>
        <w:ind w:left="720"/>
        <w:rPr>
          <w:rFonts w:ascii="Myriad Pro" w:hAnsi="Myriad Pro"/>
          <w:sz w:val="22"/>
          <w:szCs w:val="22"/>
        </w:rPr>
      </w:pPr>
      <w:r w:rsidRPr="002B5666">
        <w:rPr>
          <w:rFonts w:ascii="Myriad Pro" w:hAnsi="Myriad Pro" w:hint="eastAsia"/>
          <w:sz w:val="22"/>
          <w:szCs w:val="22"/>
        </w:rPr>
        <w:t xml:space="preserve">Table S3. </w:t>
      </w:r>
      <w:r w:rsidR="006B7288">
        <w:rPr>
          <w:rFonts w:ascii="Myriad Pro" w:hAnsi="Myriad Pro" w:hint="eastAsia"/>
          <w:sz w:val="22"/>
          <w:szCs w:val="22"/>
          <w:lang w:eastAsia="zh-CN"/>
        </w:rPr>
        <w:t>Liquid</w:t>
      </w:r>
      <w:r w:rsidR="006B7288" w:rsidRPr="006B7288">
        <w:rPr>
          <w:rFonts w:ascii="Myriad Pro" w:hAnsi="Myriad Pro"/>
          <w:sz w:val="22"/>
          <w:szCs w:val="22"/>
        </w:rPr>
        <w:t xml:space="preserve"> compositions from Merapi volcano used for temperature-pressure calculation</w:t>
      </w:r>
    </w:p>
    <w:p w14:paraId="53E773E4" w14:textId="77777777" w:rsidR="002B5666" w:rsidRPr="00E20557" w:rsidRDefault="002B5666" w:rsidP="002B5666">
      <w:pPr>
        <w:rPr>
          <w:rFonts w:ascii="Myriad Pro" w:hAnsi="Myriad Pro"/>
          <w:sz w:val="22"/>
          <w:szCs w:val="22"/>
        </w:rPr>
      </w:pPr>
    </w:p>
    <w:p w14:paraId="7EB4E067" w14:textId="3E03C840" w:rsidR="0073126E" w:rsidRPr="0073126E" w:rsidRDefault="00FF3503" w:rsidP="0073126E">
      <w:pPr>
        <w:pStyle w:val="SMHeading"/>
      </w:pPr>
      <w:r>
        <w:t xml:space="preserve">Introduction </w:t>
      </w:r>
      <w:r>
        <w:br/>
        <w:t xml:space="preserve">This supporting information contains additional methodological details, supplementary figures, and table captions for the main manuscript. Text S1 provides additional details of the AIMS4PT_cpx framework. </w:t>
      </w:r>
      <w:r w:rsidR="006979A6" w:rsidRPr="006979A6">
        <w:t>Figures S1–S17 provide supplementary compositional comparisons of model calibration datasets, SHAP-based feature-importance analyses, evaluations of the out-of-distribution filters and deviation predictors, tests of analytical uncertainty, model-selection</w:t>
      </w:r>
      <w:r w:rsidR="00B05D0D">
        <w:rPr>
          <w:rFonts w:hint="eastAsia"/>
          <w:lang w:eastAsia="zh-CN"/>
        </w:rPr>
        <w:t xml:space="preserve"> for </w:t>
      </w:r>
      <w:r w:rsidR="00B05D0D">
        <w:rPr>
          <w:lang w:eastAsia="zh-CN"/>
        </w:rPr>
        <w:t>Merapi</w:t>
      </w:r>
      <w:r w:rsidR="00B05D0D">
        <w:rPr>
          <w:rFonts w:hint="eastAsia"/>
          <w:lang w:eastAsia="zh-CN"/>
        </w:rPr>
        <w:t xml:space="preserve"> data</w:t>
      </w:r>
      <w:r w:rsidR="006979A6" w:rsidRPr="006979A6">
        <w:t xml:space="preserve">, sensitivity tests for repeated train–test splits, and sensitivity tests for </w:t>
      </w:r>
      <w:proofErr w:type="spellStart"/>
      <w:proofErr w:type="gramStart"/>
      <w:r w:rsidR="006979A6" w:rsidRPr="006979A6">
        <w:t>Kd</w:t>
      </w:r>
      <w:proofErr w:type="spellEnd"/>
      <w:r w:rsidR="006979A6" w:rsidRPr="006979A6">
        <w:t>(</w:t>
      </w:r>
      <w:proofErr w:type="gramEnd"/>
      <w:r w:rsidR="006979A6" w:rsidRPr="006979A6">
        <w:t>Fe–Mg)-based equilibrium-liquid pairing</w:t>
      </w:r>
      <w:r w:rsidR="0073126E" w:rsidRPr="0073126E">
        <w:t>.</w:t>
      </w:r>
    </w:p>
    <w:p w14:paraId="065E8F2C" w14:textId="77777777" w:rsidR="00E20557" w:rsidRDefault="00E20557" w:rsidP="00E46984">
      <w:pPr>
        <w:jc w:val="both"/>
      </w:pPr>
      <w:r>
        <w:br w:type="page"/>
      </w:r>
    </w:p>
    <w:p w14:paraId="74A740DB" w14:textId="77777777" w:rsidR="00AB4D57" w:rsidRDefault="00AA0B35" w:rsidP="00A51643">
      <w:pPr>
        <w:pStyle w:val="SMHeading"/>
      </w:pPr>
      <w:r w:rsidRPr="005314B5">
        <w:lastRenderedPageBreak/>
        <w:t>Text</w:t>
      </w:r>
      <w:r>
        <w:t xml:space="preserve"> S1.</w:t>
      </w:r>
      <w:r w:rsidR="00AB4D57">
        <w:rPr>
          <w:rFonts w:hint="eastAsia"/>
          <w:lang w:eastAsia="zh-CN"/>
        </w:rPr>
        <w:t xml:space="preserve"> </w:t>
      </w:r>
      <w:r w:rsidR="00AB4D57" w:rsidRPr="00AB4D57">
        <w:t xml:space="preserve">Additional methodological details for </w:t>
      </w:r>
      <w:r w:rsidR="0004150A">
        <w:t xml:space="preserve">the </w:t>
      </w:r>
      <w:r w:rsidR="002B5666">
        <w:t>AIMS4PT_cpx</w:t>
      </w:r>
      <w:r w:rsidR="0004150A">
        <w:rPr>
          <w:rFonts w:hint="eastAsia"/>
          <w:lang w:eastAsia="zh-CN"/>
        </w:rPr>
        <w:t xml:space="preserve"> framework</w:t>
      </w:r>
      <w:r w:rsidR="00AB4D57" w:rsidRPr="00AB4D57">
        <w:t>.</w:t>
      </w:r>
    </w:p>
    <w:p w14:paraId="4F700266" w14:textId="77777777" w:rsidR="00862F60" w:rsidRDefault="00862F60" w:rsidP="00E46984">
      <w:pPr>
        <w:spacing w:before="100" w:beforeAutospacing="1" w:after="100" w:afterAutospacing="1"/>
        <w:jc w:val="both"/>
        <w:rPr>
          <w:rFonts w:ascii="Myriad Pro" w:hAnsi="Myriad Pro"/>
          <w:sz w:val="22"/>
          <w:szCs w:val="22"/>
        </w:rPr>
      </w:pPr>
      <w:r w:rsidRPr="00862F60">
        <w:rPr>
          <w:rFonts w:ascii="Myriad Pro" w:hAnsi="Myriad Pro"/>
          <w:sz w:val="22"/>
          <w:szCs w:val="22"/>
        </w:rPr>
        <w:t xml:space="preserve">The workflow </w:t>
      </w:r>
      <w:r>
        <w:rPr>
          <w:rFonts w:ascii="Myriad Pro" w:hAnsi="Myriad Pro" w:hint="eastAsia"/>
          <w:sz w:val="22"/>
          <w:szCs w:val="22"/>
          <w:lang w:eastAsia="zh-CN"/>
        </w:rPr>
        <w:t xml:space="preserve">for </w:t>
      </w:r>
      <w:r>
        <w:rPr>
          <w:rFonts w:ascii="Myriad Pro" w:hAnsi="Myriad Pro"/>
          <w:sz w:val="22"/>
          <w:szCs w:val="22"/>
          <w:lang w:eastAsia="zh-CN"/>
        </w:rPr>
        <w:t>establishing</w:t>
      </w:r>
      <w:r w:rsidRPr="00862F60">
        <w:rPr>
          <w:rFonts w:ascii="Myriad Pro" w:hAnsi="Myriad Pro"/>
          <w:sz w:val="22"/>
          <w:szCs w:val="22"/>
        </w:rPr>
        <w:t xml:space="preserve"> AIMS4PT_cpx is described in </w:t>
      </w:r>
      <w:r>
        <w:rPr>
          <w:rFonts w:ascii="Myriad Pro" w:hAnsi="Myriad Pro"/>
          <w:sz w:val="22"/>
          <w:szCs w:val="22"/>
        </w:rPr>
        <w:t>Section</w:t>
      </w:r>
      <w:r w:rsidRPr="00862F60">
        <w:rPr>
          <w:rFonts w:ascii="Myriad Pro" w:hAnsi="Myriad Pro"/>
          <w:sz w:val="22"/>
          <w:szCs w:val="22"/>
        </w:rPr>
        <w:t xml:space="preserve"> </w:t>
      </w:r>
      <w:r>
        <w:rPr>
          <w:rFonts w:ascii="Myriad Pro" w:hAnsi="Myriad Pro" w:hint="eastAsia"/>
          <w:sz w:val="22"/>
          <w:szCs w:val="22"/>
          <w:lang w:eastAsia="zh-CN"/>
        </w:rPr>
        <w:t>3</w:t>
      </w:r>
      <w:r w:rsidRPr="00862F60">
        <w:rPr>
          <w:rFonts w:ascii="Myriad Pro" w:hAnsi="Myriad Pro"/>
          <w:sz w:val="22"/>
          <w:szCs w:val="22"/>
        </w:rPr>
        <w:t>. Here, we provide additional methodological details not included in the main text.</w:t>
      </w:r>
    </w:p>
    <w:p w14:paraId="1718F22D" w14:textId="77777777" w:rsidR="00862F60" w:rsidRPr="00862F60" w:rsidRDefault="002D4732" w:rsidP="00862F60">
      <w:pPr>
        <w:spacing w:before="100" w:beforeAutospacing="1" w:after="100" w:afterAutospacing="1"/>
        <w:jc w:val="both"/>
        <w:rPr>
          <w:rFonts w:ascii="Myriad Pro" w:hAnsi="Myriad Pro"/>
          <w:sz w:val="22"/>
          <w:szCs w:val="22"/>
          <w:lang w:eastAsia="zh-CN"/>
        </w:rPr>
      </w:pPr>
      <w:r w:rsidRPr="002D4732">
        <w:rPr>
          <w:rFonts w:ascii="Myriad Pro" w:hAnsi="Myriad Pro"/>
          <w:sz w:val="22"/>
          <w:szCs w:val="22"/>
        </w:rPr>
        <w:t xml:space="preserve">All </w:t>
      </w:r>
      <w:r w:rsidR="0004150A">
        <w:rPr>
          <w:rFonts w:ascii="Myriad Pro" w:hAnsi="Myriad Pro" w:hint="eastAsia"/>
          <w:sz w:val="22"/>
          <w:szCs w:val="22"/>
          <w:lang w:eastAsia="zh-CN"/>
        </w:rPr>
        <w:t xml:space="preserve">the OOD filters and deviation prediction </w:t>
      </w:r>
      <w:r w:rsidRPr="002D4732">
        <w:rPr>
          <w:rFonts w:ascii="Myriad Pro" w:hAnsi="Myriad Pro"/>
          <w:sz w:val="22"/>
          <w:szCs w:val="22"/>
        </w:rPr>
        <w:t xml:space="preserve">models were trained separately for each </w:t>
      </w:r>
      <w:r w:rsidR="0004150A">
        <w:rPr>
          <w:rFonts w:ascii="Myriad Pro" w:hAnsi="Myriad Pro" w:hint="eastAsia"/>
          <w:sz w:val="22"/>
          <w:szCs w:val="22"/>
          <w:lang w:eastAsia="zh-CN"/>
        </w:rPr>
        <w:t>thermometer or barometer</w:t>
      </w:r>
      <w:r w:rsidRPr="002D4732">
        <w:rPr>
          <w:rFonts w:ascii="Myriad Pro" w:hAnsi="Myriad Pro"/>
          <w:sz w:val="22"/>
          <w:szCs w:val="22"/>
        </w:rPr>
        <w:t xml:space="preserve">. </w:t>
      </w:r>
      <w:r w:rsidR="00F735E8">
        <w:rPr>
          <w:rFonts w:ascii="Myriad Pro" w:hAnsi="Myriad Pro"/>
          <w:sz w:val="22"/>
          <w:szCs w:val="22"/>
          <w:lang w:eastAsia="zh-CN"/>
        </w:rPr>
        <w:t xml:space="preserve">To maintain consistency with the original thermobarometer model, we adopt the same input variables (i.e., the clinopyroxene and liquid components) for feature-space OOD filtering and deviation prediction as the original model. </w:t>
      </w:r>
      <w:r w:rsidR="00862F60">
        <w:rPr>
          <w:rFonts w:ascii="Myriad Pro" w:hAnsi="Myriad Pro"/>
          <w:sz w:val="22"/>
          <w:szCs w:val="22"/>
          <w:lang w:eastAsia="zh-CN"/>
        </w:rPr>
        <w:t xml:space="preserve">For the most clinopyroxene-only models, input clinopyroxene components include SiO₂, </w:t>
      </w:r>
      <w:proofErr w:type="spellStart"/>
      <w:r w:rsidR="00862F60">
        <w:rPr>
          <w:rFonts w:ascii="Myriad Pro" w:hAnsi="Myriad Pro"/>
          <w:sz w:val="22"/>
          <w:szCs w:val="22"/>
          <w:lang w:eastAsia="zh-CN"/>
        </w:rPr>
        <w:t>TiO</w:t>
      </w:r>
      <w:proofErr w:type="spellEnd"/>
      <w:r w:rsidR="00862F60">
        <w:rPr>
          <w:rFonts w:ascii="Myriad Pro" w:hAnsi="Myriad Pro"/>
          <w:sz w:val="22"/>
          <w:szCs w:val="22"/>
          <w:lang w:eastAsia="zh-CN"/>
        </w:rPr>
        <w:t xml:space="preserve">₂, </w:t>
      </w:r>
      <w:proofErr w:type="spellStart"/>
      <w:r w:rsidR="00862F60">
        <w:rPr>
          <w:rFonts w:ascii="Myriad Pro" w:hAnsi="Myriad Pro"/>
          <w:sz w:val="22"/>
          <w:szCs w:val="22"/>
          <w:lang w:eastAsia="zh-CN"/>
        </w:rPr>
        <w:t>Al₂O</w:t>
      </w:r>
      <w:proofErr w:type="spellEnd"/>
      <w:r w:rsidR="00862F60">
        <w:rPr>
          <w:rFonts w:ascii="Myriad Pro" w:hAnsi="Myriad Pro"/>
          <w:sz w:val="22"/>
          <w:szCs w:val="22"/>
          <w:lang w:eastAsia="zh-CN"/>
        </w:rPr>
        <w:t xml:space="preserve">₃, </w:t>
      </w:r>
      <w:proofErr w:type="spellStart"/>
      <w:r w:rsidR="00862F60">
        <w:rPr>
          <w:rFonts w:ascii="Myriad Pro" w:hAnsi="Myriad Pro"/>
          <w:sz w:val="22"/>
          <w:szCs w:val="22"/>
          <w:lang w:eastAsia="zh-CN"/>
        </w:rPr>
        <w:t>FeO</w:t>
      </w:r>
      <w:proofErr w:type="spellEnd"/>
      <w:r w:rsidR="00862F60">
        <w:rPr>
          <w:rFonts w:ascii="Myriad Pro" w:hAnsi="Myriad Pro"/>
          <w:sz w:val="22"/>
          <w:szCs w:val="22"/>
          <w:lang w:eastAsia="zh-CN"/>
        </w:rPr>
        <w:t xml:space="preserve">ₜ, MnO, MgO, CaO, </w:t>
      </w:r>
      <w:proofErr w:type="spellStart"/>
      <w:r w:rsidR="00862F60">
        <w:rPr>
          <w:rFonts w:ascii="Myriad Pro" w:hAnsi="Myriad Pro"/>
          <w:sz w:val="22"/>
          <w:szCs w:val="22"/>
          <w:lang w:eastAsia="zh-CN"/>
        </w:rPr>
        <w:t>Na₂O</w:t>
      </w:r>
      <w:proofErr w:type="spellEnd"/>
      <w:r w:rsidR="00862F60">
        <w:rPr>
          <w:rFonts w:ascii="Myriad Pro" w:hAnsi="Myriad Pro"/>
          <w:sz w:val="22"/>
          <w:szCs w:val="22"/>
          <w:lang w:eastAsia="zh-CN"/>
        </w:rPr>
        <w:t xml:space="preserve">, </w:t>
      </w:r>
      <w:r w:rsidR="00862F60">
        <w:rPr>
          <w:rFonts w:ascii="Myriad Pro" w:hAnsi="Myriad Pro" w:hint="eastAsia"/>
          <w:sz w:val="22"/>
          <w:szCs w:val="22"/>
          <w:lang w:eastAsia="zh-CN"/>
        </w:rPr>
        <w:t>and K</w:t>
      </w:r>
      <w:r w:rsidR="00862F60" w:rsidRPr="00862F60">
        <w:rPr>
          <w:rFonts w:ascii="Myriad Pro" w:hAnsi="Myriad Pro" w:hint="eastAsia"/>
          <w:sz w:val="22"/>
          <w:szCs w:val="22"/>
          <w:vertAlign w:val="subscript"/>
          <w:lang w:eastAsia="zh-CN"/>
        </w:rPr>
        <w:t>2</w:t>
      </w:r>
      <w:r w:rsidR="00862F60">
        <w:rPr>
          <w:rFonts w:ascii="Myriad Pro" w:hAnsi="Myriad Pro" w:hint="eastAsia"/>
          <w:sz w:val="22"/>
          <w:szCs w:val="22"/>
          <w:lang w:eastAsia="zh-CN"/>
        </w:rPr>
        <w:t xml:space="preserve">O, and </w:t>
      </w:r>
      <w:r w:rsidR="00862F60">
        <w:rPr>
          <w:rFonts w:ascii="Myriad Pro" w:hAnsi="Myriad Pro"/>
          <w:sz w:val="22"/>
          <w:szCs w:val="22"/>
          <w:lang w:eastAsia="zh-CN"/>
        </w:rPr>
        <w:t xml:space="preserve">clinopyroxene-liquid models </w:t>
      </w:r>
      <w:r w:rsidR="00862F60">
        <w:rPr>
          <w:rFonts w:ascii="Myriad Pro" w:hAnsi="Myriad Pro" w:hint="eastAsia"/>
          <w:sz w:val="22"/>
          <w:szCs w:val="22"/>
          <w:lang w:eastAsia="zh-CN"/>
        </w:rPr>
        <w:t>usually</w:t>
      </w:r>
      <w:r w:rsidR="00862F60">
        <w:rPr>
          <w:rFonts w:ascii="Myriad Pro" w:hAnsi="Myriad Pro"/>
          <w:sz w:val="22"/>
          <w:szCs w:val="22"/>
          <w:lang w:eastAsia="zh-CN"/>
        </w:rPr>
        <w:t xml:space="preserve"> use these clinopyroxene components together with major-element liquid oxides</w:t>
      </w:r>
      <w:r w:rsidR="00862F60">
        <w:rPr>
          <w:rFonts w:ascii="Myriad Pro" w:hAnsi="Myriad Pro" w:hint="eastAsia"/>
          <w:sz w:val="22"/>
          <w:szCs w:val="22"/>
          <w:lang w:eastAsia="zh-CN"/>
        </w:rPr>
        <w:t xml:space="preserve"> including </w:t>
      </w:r>
      <w:r w:rsidR="00862F60">
        <w:rPr>
          <w:rFonts w:ascii="Myriad Pro" w:hAnsi="Myriad Pro"/>
          <w:sz w:val="22"/>
          <w:szCs w:val="22"/>
          <w:lang w:eastAsia="zh-CN"/>
        </w:rPr>
        <w:t xml:space="preserve">SiO₂, </w:t>
      </w:r>
      <w:proofErr w:type="spellStart"/>
      <w:r w:rsidR="00862F60">
        <w:rPr>
          <w:rFonts w:ascii="Myriad Pro" w:hAnsi="Myriad Pro"/>
          <w:sz w:val="22"/>
          <w:szCs w:val="22"/>
          <w:lang w:eastAsia="zh-CN"/>
        </w:rPr>
        <w:t>TiO</w:t>
      </w:r>
      <w:proofErr w:type="spellEnd"/>
      <w:r w:rsidR="00862F60">
        <w:rPr>
          <w:rFonts w:ascii="Myriad Pro" w:hAnsi="Myriad Pro"/>
          <w:sz w:val="22"/>
          <w:szCs w:val="22"/>
          <w:lang w:eastAsia="zh-CN"/>
        </w:rPr>
        <w:t xml:space="preserve">₂, </w:t>
      </w:r>
      <w:proofErr w:type="spellStart"/>
      <w:r w:rsidR="00862F60">
        <w:rPr>
          <w:rFonts w:ascii="Myriad Pro" w:hAnsi="Myriad Pro"/>
          <w:sz w:val="22"/>
          <w:szCs w:val="22"/>
          <w:lang w:eastAsia="zh-CN"/>
        </w:rPr>
        <w:t>Al₂O</w:t>
      </w:r>
      <w:proofErr w:type="spellEnd"/>
      <w:r w:rsidR="00862F60">
        <w:rPr>
          <w:rFonts w:ascii="Myriad Pro" w:hAnsi="Myriad Pro"/>
          <w:sz w:val="22"/>
          <w:szCs w:val="22"/>
          <w:lang w:eastAsia="zh-CN"/>
        </w:rPr>
        <w:t xml:space="preserve">₃, </w:t>
      </w:r>
      <w:proofErr w:type="spellStart"/>
      <w:r w:rsidR="00862F60">
        <w:rPr>
          <w:rFonts w:ascii="Myriad Pro" w:hAnsi="Myriad Pro"/>
          <w:sz w:val="22"/>
          <w:szCs w:val="22"/>
          <w:lang w:eastAsia="zh-CN"/>
        </w:rPr>
        <w:t>FeO</w:t>
      </w:r>
      <w:proofErr w:type="spellEnd"/>
      <w:r w:rsidR="00862F60">
        <w:rPr>
          <w:rFonts w:ascii="Myriad Pro" w:hAnsi="Myriad Pro"/>
          <w:sz w:val="22"/>
          <w:szCs w:val="22"/>
          <w:lang w:eastAsia="zh-CN"/>
        </w:rPr>
        <w:t xml:space="preserve">ₜ, MnO, MgO, CaO, </w:t>
      </w:r>
      <w:proofErr w:type="spellStart"/>
      <w:r w:rsidR="00862F60">
        <w:rPr>
          <w:rFonts w:ascii="Myriad Pro" w:hAnsi="Myriad Pro"/>
          <w:sz w:val="22"/>
          <w:szCs w:val="22"/>
          <w:lang w:eastAsia="zh-CN"/>
        </w:rPr>
        <w:t>Na₂O</w:t>
      </w:r>
      <w:proofErr w:type="spellEnd"/>
      <w:r w:rsidR="00862F60">
        <w:rPr>
          <w:rFonts w:ascii="Myriad Pro" w:hAnsi="Myriad Pro"/>
          <w:sz w:val="22"/>
          <w:szCs w:val="22"/>
          <w:lang w:eastAsia="zh-CN"/>
        </w:rPr>
        <w:t xml:space="preserve">, </w:t>
      </w:r>
      <w:r w:rsidR="00862F60">
        <w:rPr>
          <w:rFonts w:ascii="Myriad Pro" w:hAnsi="Myriad Pro" w:hint="eastAsia"/>
          <w:sz w:val="22"/>
          <w:szCs w:val="22"/>
          <w:lang w:eastAsia="zh-CN"/>
        </w:rPr>
        <w:t>and K</w:t>
      </w:r>
      <w:r w:rsidR="00862F60" w:rsidRPr="00862F60">
        <w:rPr>
          <w:rFonts w:ascii="Myriad Pro" w:hAnsi="Myriad Pro" w:hint="eastAsia"/>
          <w:sz w:val="22"/>
          <w:szCs w:val="22"/>
          <w:vertAlign w:val="subscript"/>
          <w:lang w:eastAsia="zh-CN"/>
        </w:rPr>
        <w:t>2</w:t>
      </w:r>
      <w:r w:rsidR="00862F60">
        <w:rPr>
          <w:rFonts w:ascii="Myriad Pro" w:hAnsi="Myriad Pro" w:hint="eastAsia"/>
          <w:sz w:val="22"/>
          <w:szCs w:val="22"/>
          <w:lang w:eastAsia="zh-CN"/>
        </w:rPr>
        <w:t>O</w:t>
      </w:r>
      <w:r w:rsidR="00862F60">
        <w:rPr>
          <w:rFonts w:ascii="Myriad Pro" w:hAnsi="Myriad Pro"/>
          <w:sz w:val="22"/>
          <w:szCs w:val="22"/>
          <w:lang w:eastAsia="zh-CN"/>
        </w:rPr>
        <w:t xml:space="preserve">. </w:t>
      </w:r>
      <w:r w:rsidR="00862F60" w:rsidRPr="00862F60">
        <w:rPr>
          <w:rFonts w:ascii="Myriad Pro" w:hAnsi="Myriad Pro"/>
          <w:sz w:val="22"/>
          <w:szCs w:val="22"/>
        </w:rPr>
        <w:t xml:space="preserve">A few models additionally require variables such as liquid H₂O and P₂O₅, or clinopyroxene </w:t>
      </w:r>
      <w:proofErr w:type="spellStart"/>
      <w:r w:rsidR="00862F60" w:rsidRPr="00862F60">
        <w:rPr>
          <w:rFonts w:ascii="Myriad Pro" w:hAnsi="Myriad Pro"/>
          <w:sz w:val="22"/>
          <w:szCs w:val="22"/>
        </w:rPr>
        <w:t>Cr₂O</w:t>
      </w:r>
      <w:proofErr w:type="spellEnd"/>
      <w:r w:rsidR="00862F60" w:rsidRPr="00862F60">
        <w:rPr>
          <w:rFonts w:ascii="Myriad Pro" w:hAnsi="Myriad Pro"/>
          <w:sz w:val="22"/>
          <w:szCs w:val="22"/>
        </w:rPr>
        <w:t>₃ and NiO</w:t>
      </w:r>
      <w:r w:rsidR="00862F60">
        <w:rPr>
          <w:rFonts w:ascii="Myriad Pro" w:hAnsi="Myriad Pro" w:hint="eastAsia"/>
          <w:sz w:val="22"/>
          <w:szCs w:val="22"/>
          <w:lang w:eastAsia="zh-CN"/>
        </w:rPr>
        <w:t xml:space="preserve"> </w:t>
      </w:r>
      <w:r w:rsidR="007F711F" w:rsidRPr="007F711F">
        <w:rPr>
          <w:rFonts w:ascii="Myriad Pro" w:hAnsi="Myriad Pro"/>
          <w:sz w:val="22"/>
          <w:szCs w:val="22"/>
          <w:lang w:eastAsia="zh-CN"/>
        </w:rPr>
        <w:t>(Chicchi et al., 2023)</w:t>
      </w:r>
      <w:r w:rsidR="007F711F">
        <w:rPr>
          <w:rFonts w:ascii="Myriad Pro" w:hAnsi="Myriad Pro" w:hint="eastAsia"/>
          <w:sz w:val="22"/>
          <w:szCs w:val="22"/>
          <w:lang w:eastAsia="zh-CN"/>
        </w:rPr>
        <w:t xml:space="preserve">. </w:t>
      </w:r>
      <w:r w:rsidR="005B049D">
        <w:rPr>
          <w:rFonts w:ascii="Myriad Pro" w:hAnsi="Myriad Pro" w:hint="eastAsia"/>
          <w:sz w:val="22"/>
          <w:szCs w:val="22"/>
          <w:lang w:eastAsia="zh-CN"/>
        </w:rPr>
        <w:t xml:space="preserve">The </w:t>
      </w:r>
      <w:r w:rsidR="005B049D" w:rsidRPr="00862F60">
        <w:rPr>
          <w:rFonts w:ascii="Myriad Pro" w:hAnsi="Myriad Pro"/>
          <w:sz w:val="22"/>
          <w:szCs w:val="22"/>
        </w:rPr>
        <w:t xml:space="preserve">reported </w:t>
      </w:r>
      <w:r w:rsidR="00862F60" w:rsidRPr="00862F60">
        <w:rPr>
          <w:rFonts w:ascii="Myriad Pro" w:hAnsi="Myriad Pro"/>
          <w:sz w:val="22"/>
          <w:szCs w:val="22"/>
        </w:rPr>
        <w:t xml:space="preserve">total iron </w:t>
      </w:r>
      <w:r w:rsidR="005B049D">
        <w:rPr>
          <w:rFonts w:ascii="Myriad Pro" w:hAnsi="Myriad Pro" w:hint="eastAsia"/>
          <w:sz w:val="22"/>
          <w:szCs w:val="22"/>
          <w:lang w:eastAsia="zh-CN"/>
        </w:rPr>
        <w:t>(</w:t>
      </w:r>
      <w:r w:rsidR="00862F60" w:rsidRPr="00862F60">
        <w:rPr>
          <w:rFonts w:ascii="Myriad Pro" w:hAnsi="Myriad Pro"/>
          <w:sz w:val="22"/>
          <w:szCs w:val="22"/>
        </w:rPr>
        <w:t>FeO</w:t>
      </w:r>
      <w:r w:rsidR="005B049D" w:rsidRPr="005B049D">
        <w:rPr>
          <w:rFonts w:ascii="Myriad Pro" w:hAnsi="Myriad Pro" w:hint="eastAsia"/>
          <w:sz w:val="22"/>
          <w:szCs w:val="22"/>
          <w:vertAlign w:val="subscript"/>
          <w:lang w:eastAsia="zh-CN"/>
        </w:rPr>
        <w:t>t</w:t>
      </w:r>
      <w:r w:rsidR="005B049D">
        <w:rPr>
          <w:rFonts w:ascii="Myriad Pro" w:hAnsi="Myriad Pro" w:hint="eastAsia"/>
          <w:sz w:val="22"/>
          <w:szCs w:val="22"/>
          <w:lang w:eastAsia="zh-CN"/>
        </w:rPr>
        <w:t>)</w:t>
      </w:r>
      <w:r w:rsidR="00862F60" w:rsidRPr="00862F60">
        <w:rPr>
          <w:rFonts w:ascii="Myriad Pro" w:hAnsi="Myriad Pro"/>
          <w:sz w:val="22"/>
          <w:szCs w:val="22"/>
        </w:rPr>
        <w:t xml:space="preserve"> was</w:t>
      </w:r>
      <w:r w:rsidR="005B049D">
        <w:rPr>
          <w:rFonts w:ascii="Myriad Pro" w:hAnsi="Myriad Pro" w:hint="eastAsia"/>
          <w:sz w:val="22"/>
          <w:szCs w:val="22"/>
          <w:lang w:eastAsia="zh-CN"/>
        </w:rPr>
        <w:t xml:space="preserve"> all</w:t>
      </w:r>
      <w:r w:rsidR="00862F60" w:rsidRPr="00862F60">
        <w:rPr>
          <w:rFonts w:ascii="Myriad Pro" w:hAnsi="Myriad Pro"/>
          <w:sz w:val="22"/>
          <w:szCs w:val="22"/>
        </w:rPr>
        <w:t xml:space="preserve"> treated as Fe²⁺</w:t>
      </w:r>
      <w:r w:rsidR="005B049D">
        <w:rPr>
          <w:rFonts w:ascii="Myriad Pro" w:hAnsi="Myriad Pro" w:hint="eastAsia"/>
          <w:sz w:val="22"/>
          <w:szCs w:val="22"/>
          <w:lang w:eastAsia="zh-CN"/>
        </w:rPr>
        <w:t xml:space="preserve">, </w:t>
      </w:r>
      <w:r w:rsidR="005B049D">
        <w:rPr>
          <w:rFonts w:ascii="Myriad Pro" w:hAnsi="Myriad Pro"/>
          <w:sz w:val="22"/>
          <w:szCs w:val="22"/>
        </w:rPr>
        <w:t>consistent</w:t>
      </w:r>
      <w:r w:rsidR="005B049D" w:rsidRPr="00862F60">
        <w:rPr>
          <w:rFonts w:ascii="Myriad Pro" w:hAnsi="Myriad Pro"/>
          <w:sz w:val="22"/>
          <w:szCs w:val="22"/>
        </w:rPr>
        <w:t xml:space="preserve"> with the assumptions of the </w:t>
      </w:r>
      <w:r w:rsidR="005B049D">
        <w:rPr>
          <w:rFonts w:ascii="Myriad Pro" w:hAnsi="Myriad Pro" w:hint="eastAsia"/>
          <w:sz w:val="22"/>
          <w:szCs w:val="22"/>
          <w:lang w:eastAsia="zh-CN"/>
        </w:rPr>
        <w:t xml:space="preserve">previous </w:t>
      </w:r>
      <w:r w:rsidR="005B049D" w:rsidRPr="00862F60">
        <w:rPr>
          <w:rFonts w:ascii="Myriad Pro" w:hAnsi="Myriad Pro"/>
          <w:sz w:val="22"/>
          <w:szCs w:val="22"/>
        </w:rPr>
        <w:t>thermobarometer</w:t>
      </w:r>
      <w:r w:rsidR="005B049D">
        <w:rPr>
          <w:rFonts w:ascii="Myriad Pro" w:hAnsi="Myriad Pro" w:hint="eastAsia"/>
          <w:sz w:val="22"/>
          <w:szCs w:val="22"/>
          <w:lang w:eastAsia="zh-CN"/>
        </w:rPr>
        <w:t xml:space="preserve"> </w:t>
      </w:r>
      <w:r w:rsidR="005B049D" w:rsidRPr="00862F60">
        <w:rPr>
          <w:rFonts w:ascii="Myriad Pro" w:hAnsi="Myriad Pro"/>
          <w:sz w:val="22"/>
          <w:szCs w:val="22"/>
        </w:rPr>
        <w:t>model</w:t>
      </w:r>
      <w:r w:rsidR="005B049D">
        <w:rPr>
          <w:rFonts w:ascii="Myriad Pro" w:hAnsi="Myriad Pro" w:hint="eastAsia"/>
          <w:sz w:val="22"/>
          <w:szCs w:val="22"/>
          <w:lang w:eastAsia="zh-CN"/>
        </w:rPr>
        <w:t xml:space="preserve">. In </w:t>
      </w:r>
      <w:r w:rsidR="005B049D">
        <w:rPr>
          <w:rFonts w:ascii="Myriad Pro" w:hAnsi="Myriad Pro"/>
          <w:sz w:val="22"/>
          <w:szCs w:val="22"/>
          <w:lang w:eastAsia="zh-CN"/>
        </w:rPr>
        <w:t>addition,</w:t>
      </w:r>
      <w:r w:rsidR="005B049D" w:rsidRPr="00862F60">
        <w:rPr>
          <w:rFonts w:ascii="Myriad Pro" w:hAnsi="Myriad Pro"/>
          <w:sz w:val="22"/>
          <w:szCs w:val="22"/>
        </w:rPr>
        <w:t xml:space="preserve"> </w:t>
      </w:r>
      <w:r w:rsidR="005B049D">
        <w:rPr>
          <w:rFonts w:ascii="Myriad Pro" w:hAnsi="Myriad Pro" w:hint="eastAsia"/>
          <w:sz w:val="22"/>
          <w:szCs w:val="22"/>
          <w:lang w:eastAsia="zh-CN"/>
        </w:rPr>
        <w:t xml:space="preserve">the liquid compositions </w:t>
      </w:r>
      <w:r w:rsidR="00862F60" w:rsidRPr="00862F60">
        <w:rPr>
          <w:rFonts w:ascii="Myriad Pro" w:hAnsi="Myriad Pro"/>
          <w:sz w:val="22"/>
          <w:szCs w:val="22"/>
        </w:rPr>
        <w:t xml:space="preserve">were renormalized to 100 wt.% </w:t>
      </w:r>
      <w:r w:rsidR="005B049D">
        <w:rPr>
          <w:rFonts w:ascii="Myriad Pro" w:hAnsi="Myriad Pro" w:hint="eastAsia"/>
          <w:sz w:val="22"/>
          <w:szCs w:val="22"/>
          <w:lang w:eastAsia="zh-CN"/>
        </w:rPr>
        <w:t>anhydrous, w</w:t>
      </w:r>
      <w:r w:rsidR="005B049D" w:rsidRPr="00862F60">
        <w:rPr>
          <w:rFonts w:ascii="Myriad Pro" w:hAnsi="Myriad Pro"/>
          <w:sz w:val="22"/>
          <w:szCs w:val="22"/>
        </w:rPr>
        <w:t>here required by the original thermobarometer, liquid</w:t>
      </w:r>
      <w:r w:rsidR="00862F60" w:rsidRPr="00862F60">
        <w:rPr>
          <w:rFonts w:ascii="Myriad Pro" w:hAnsi="Myriad Pro"/>
          <w:sz w:val="22"/>
          <w:szCs w:val="22"/>
        </w:rPr>
        <w:t xml:space="preserve">, while </w:t>
      </w:r>
      <w:r w:rsidR="005B049D">
        <w:rPr>
          <w:rFonts w:ascii="Myriad Pro" w:hAnsi="Myriad Pro"/>
          <w:sz w:val="22"/>
          <w:szCs w:val="22"/>
        </w:rPr>
        <w:t xml:space="preserve">the </w:t>
      </w:r>
      <w:r w:rsidR="005B049D">
        <w:rPr>
          <w:rFonts w:ascii="Myriad Pro" w:hAnsi="Myriad Pro" w:hint="eastAsia"/>
          <w:sz w:val="22"/>
          <w:szCs w:val="22"/>
          <w:lang w:eastAsia="zh-CN"/>
        </w:rPr>
        <w:t xml:space="preserve">content of </w:t>
      </w:r>
      <w:r w:rsidR="00862F60" w:rsidRPr="00862F60">
        <w:rPr>
          <w:rFonts w:ascii="Myriad Pro" w:hAnsi="Myriad Pro"/>
          <w:sz w:val="22"/>
          <w:szCs w:val="22"/>
        </w:rPr>
        <w:t>H₂O was retained as an independent input variable.</w:t>
      </w:r>
    </w:p>
    <w:p w14:paraId="330F6A23" w14:textId="77777777" w:rsidR="00862F60" w:rsidRPr="00862F60" w:rsidRDefault="00862F60" w:rsidP="00862F60">
      <w:pPr>
        <w:spacing w:before="100" w:beforeAutospacing="1" w:after="100" w:afterAutospacing="1"/>
        <w:jc w:val="both"/>
        <w:rPr>
          <w:rFonts w:ascii="Myriad Pro" w:hAnsi="Myriad Pro"/>
          <w:sz w:val="22"/>
          <w:szCs w:val="22"/>
          <w:lang w:eastAsia="zh-CN"/>
        </w:rPr>
      </w:pPr>
      <w:r w:rsidRPr="00862F60">
        <w:rPr>
          <w:rFonts w:ascii="Myriad Pro" w:hAnsi="Myriad Pro"/>
          <w:sz w:val="22"/>
          <w:szCs w:val="22"/>
        </w:rPr>
        <w:t>Feature-space OOD filters were implemented using one-class SVMs in scikit-learn (Schölkopf et al., 2001; Pedregosa et al., 2011)</w:t>
      </w:r>
      <w:r w:rsidR="00F735E8">
        <w:rPr>
          <w:rFonts w:ascii="Myriad Pro" w:hAnsi="Myriad Pro" w:hint="eastAsia"/>
          <w:sz w:val="22"/>
          <w:szCs w:val="22"/>
          <w:lang w:eastAsia="zh-CN"/>
        </w:rPr>
        <w:t xml:space="preserve">, and </w:t>
      </w:r>
      <w:r w:rsidR="00F735E8">
        <w:rPr>
          <w:rFonts w:ascii="Myriad Pro" w:hAnsi="Myriad Pro"/>
          <w:sz w:val="22"/>
          <w:szCs w:val="22"/>
          <w:lang w:eastAsia="zh-CN"/>
        </w:rPr>
        <w:t>for</w:t>
      </w:r>
      <w:r w:rsidRPr="00862F60">
        <w:rPr>
          <w:rFonts w:ascii="Myriad Pro" w:hAnsi="Myriad Pro"/>
          <w:sz w:val="22"/>
          <w:szCs w:val="22"/>
        </w:rPr>
        <w:t xml:space="preserve"> </w:t>
      </w:r>
      <w:r w:rsidR="00F735E8">
        <w:rPr>
          <w:rFonts w:ascii="Myriad Pro" w:hAnsi="Myriad Pro" w:hint="eastAsia"/>
          <w:sz w:val="22"/>
          <w:szCs w:val="22"/>
          <w:lang w:eastAsia="zh-CN"/>
        </w:rPr>
        <w:t xml:space="preserve">the </w:t>
      </w:r>
      <w:r w:rsidRPr="00862F60">
        <w:rPr>
          <w:rFonts w:ascii="Myriad Pro" w:hAnsi="Myriad Pro"/>
          <w:sz w:val="22"/>
          <w:szCs w:val="22"/>
        </w:rPr>
        <w:t>thermobarometer</w:t>
      </w:r>
      <w:r w:rsidR="00F735E8">
        <w:rPr>
          <w:rFonts w:ascii="Myriad Pro" w:hAnsi="Myriad Pro" w:hint="eastAsia"/>
          <w:sz w:val="22"/>
          <w:szCs w:val="22"/>
          <w:lang w:eastAsia="zh-CN"/>
        </w:rPr>
        <w:t>s</w:t>
      </w:r>
      <w:r w:rsidR="00892D61">
        <w:rPr>
          <w:rFonts w:ascii="Myriad Pro" w:hAnsi="Myriad Pro"/>
          <w:sz w:val="22"/>
          <w:szCs w:val="22"/>
        </w:rPr>
        <w:t>, their calibration datasets were reported</w:t>
      </w:r>
      <w:r w:rsidR="00F735E8">
        <w:rPr>
          <w:rFonts w:ascii="Myriad Pro" w:hAnsi="Myriad Pro" w:hint="eastAsia"/>
          <w:sz w:val="22"/>
          <w:szCs w:val="22"/>
          <w:lang w:eastAsia="zh-CN"/>
        </w:rPr>
        <w:t>.</w:t>
      </w:r>
      <w:r w:rsidRPr="00862F60">
        <w:rPr>
          <w:rFonts w:ascii="Myriad Pro" w:hAnsi="Myriad Pro"/>
          <w:sz w:val="22"/>
          <w:szCs w:val="22"/>
        </w:rPr>
        <w:t xml:space="preserve"> </w:t>
      </w:r>
      <w:r w:rsidR="00F735E8">
        <w:rPr>
          <w:rFonts w:ascii="Myriad Pro" w:hAnsi="Myriad Pro"/>
          <w:sz w:val="22"/>
          <w:szCs w:val="22"/>
        </w:rPr>
        <w:t xml:space="preserve">The </w:t>
      </w:r>
      <w:r w:rsidRPr="00862F60">
        <w:rPr>
          <w:rFonts w:ascii="Myriad Pro" w:hAnsi="Myriad Pro"/>
          <w:sz w:val="22"/>
          <w:szCs w:val="22"/>
        </w:rPr>
        <w:t xml:space="preserve">input variables were standardized and then </w:t>
      </w:r>
      <w:r w:rsidR="00F735E8" w:rsidRPr="00862F60">
        <w:rPr>
          <w:rFonts w:ascii="Myriad Pro" w:hAnsi="Myriad Pro"/>
          <w:sz w:val="22"/>
          <w:szCs w:val="22"/>
        </w:rPr>
        <w:t>weighed</w:t>
      </w:r>
      <w:r w:rsidRPr="00862F60">
        <w:rPr>
          <w:rFonts w:ascii="Myriad Pro" w:hAnsi="Myriad Pro"/>
          <w:sz w:val="22"/>
          <w:szCs w:val="22"/>
        </w:rPr>
        <w:t xml:space="preserve"> using the SHAP-derived feature importance described in Section 2.3. </w:t>
      </w:r>
      <w:r w:rsidR="00F735E8">
        <w:rPr>
          <w:rFonts w:ascii="Myriad Pro" w:hAnsi="Myriad Pro" w:hint="eastAsia"/>
          <w:sz w:val="22"/>
          <w:szCs w:val="22"/>
          <w:lang w:eastAsia="zh-CN"/>
        </w:rPr>
        <w:t xml:space="preserve">We fit a </w:t>
      </w:r>
      <w:r w:rsidR="00F735E8" w:rsidRPr="00862F60">
        <w:rPr>
          <w:rFonts w:ascii="Myriad Pro" w:hAnsi="Myriad Pro"/>
          <w:sz w:val="22"/>
          <w:szCs w:val="22"/>
        </w:rPr>
        <w:t xml:space="preserve">one-class SVM </w:t>
      </w:r>
      <w:r w:rsidR="00F735E8">
        <w:rPr>
          <w:rFonts w:ascii="Myriad Pro" w:hAnsi="Myriad Pro" w:hint="eastAsia"/>
          <w:sz w:val="22"/>
          <w:szCs w:val="22"/>
          <w:lang w:eastAsia="zh-CN"/>
        </w:rPr>
        <w:t xml:space="preserve">for each </w:t>
      </w:r>
      <w:r w:rsidR="00F735E8" w:rsidRPr="00862F60">
        <w:rPr>
          <w:rFonts w:ascii="Myriad Pro" w:hAnsi="Myriad Pro"/>
          <w:sz w:val="22"/>
          <w:szCs w:val="22"/>
        </w:rPr>
        <w:t>thermobarometer</w:t>
      </w:r>
      <w:r w:rsidR="00F735E8">
        <w:rPr>
          <w:rFonts w:ascii="Myriad Pro" w:hAnsi="Myriad Pro" w:hint="eastAsia"/>
          <w:sz w:val="22"/>
          <w:szCs w:val="22"/>
          <w:lang w:eastAsia="zh-CN"/>
        </w:rPr>
        <w:t xml:space="preserve"> using </w:t>
      </w:r>
      <w:r w:rsidR="00F735E8">
        <w:rPr>
          <w:rFonts w:ascii="Myriad Pro" w:hAnsi="Myriad Pro"/>
          <w:sz w:val="22"/>
          <w:szCs w:val="22"/>
          <w:lang w:eastAsia="zh-CN"/>
        </w:rPr>
        <w:t>its</w:t>
      </w:r>
      <w:r w:rsidR="00F735E8">
        <w:rPr>
          <w:rFonts w:ascii="Myriad Pro" w:hAnsi="Myriad Pro" w:hint="eastAsia"/>
          <w:sz w:val="22"/>
          <w:szCs w:val="22"/>
          <w:lang w:eastAsia="zh-CN"/>
        </w:rPr>
        <w:t xml:space="preserve"> training dataset.</w:t>
      </w:r>
      <w:r w:rsidR="00F735E8" w:rsidRPr="00F735E8">
        <w:rPr>
          <w:rFonts w:ascii="Myriad Pro" w:hAnsi="Myriad Pro"/>
          <w:sz w:val="22"/>
          <w:szCs w:val="22"/>
        </w:rPr>
        <w:t xml:space="preserve"> Positive and negative decision-function scores</w:t>
      </w:r>
      <w:r w:rsidR="006C50CA">
        <w:rPr>
          <w:rFonts w:ascii="Myriad Pro" w:hAnsi="Myriad Pro" w:hint="eastAsia"/>
          <w:sz w:val="22"/>
          <w:szCs w:val="22"/>
          <w:lang w:eastAsia="zh-CN"/>
        </w:rPr>
        <w:t xml:space="preserve"> given by the SVM model are </w:t>
      </w:r>
      <w:r w:rsidR="00F735E8" w:rsidRPr="00F735E8">
        <w:rPr>
          <w:rFonts w:ascii="Myriad Pro" w:hAnsi="Myriad Pro"/>
          <w:sz w:val="22"/>
          <w:szCs w:val="22"/>
        </w:rPr>
        <w:t>interpreted as feature-in-distribution and feature-space OOD, respectively.</w:t>
      </w:r>
      <w:r w:rsidR="006C50CA">
        <w:rPr>
          <w:rFonts w:ascii="Myriad Pro" w:hAnsi="Myriad Pro" w:hint="eastAsia"/>
          <w:sz w:val="22"/>
          <w:szCs w:val="22"/>
          <w:lang w:eastAsia="zh-CN"/>
        </w:rPr>
        <w:t xml:space="preserve"> </w:t>
      </w:r>
      <w:r w:rsidR="006C50CA" w:rsidRPr="00862F60">
        <w:rPr>
          <w:rFonts w:ascii="Myriad Pro" w:hAnsi="Myriad Pro"/>
          <w:sz w:val="22"/>
          <w:szCs w:val="22"/>
        </w:rPr>
        <w:t xml:space="preserve">Feature-space OOD filters </w:t>
      </w:r>
      <w:r w:rsidR="006C50CA">
        <w:rPr>
          <w:rFonts w:ascii="Myriad Pro" w:hAnsi="Myriad Pro" w:hint="eastAsia"/>
          <w:sz w:val="22"/>
          <w:szCs w:val="22"/>
          <w:lang w:eastAsia="zh-CN"/>
        </w:rPr>
        <w:t xml:space="preserve">were fitted for all thermobarometer models </w:t>
      </w:r>
      <w:r w:rsidR="006C50CA">
        <w:rPr>
          <w:rFonts w:ascii="Myriad Pro" w:hAnsi="Myriad Pro"/>
          <w:sz w:val="22"/>
          <w:szCs w:val="22"/>
          <w:lang w:eastAsia="zh-CN"/>
        </w:rPr>
        <w:t>except</w:t>
      </w:r>
      <w:r w:rsidR="006C50CA">
        <w:rPr>
          <w:rFonts w:ascii="Myriad Pro" w:hAnsi="Myriad Pro" w:hint="eastAsia"/>
          <w:sz w:val="22"/>
          <w:szCs w:val="22"/>
          <w:lang w:eastAsia="zh-CN"/>
        </w:rPr>
        <w:t xml:space="preserve"> </w:t>
      </w:r>
      <w:r w:rsidR="006C50CA">
        <w:rPr>
          <w:rFonts w:ascii="Myriad Pro" w:hAnsi="Myriad Pro"/>
          <w:sz w:val="22"/>
          <w:szCs w:val="22"/>
          <w:lang w:eastAsia="zh-CN"/>
        </w:rPr>
        <w:t>the Putirka (2008) models, as their calibration datasets are unavailable</w:t>
      </w:r>
      <w:r w:rsidRPr="00862F60">
        <w:rPr>
          <w:rFonts w:ascii="Myriad Pro" w:hAnsi="Myriad Pro"/>
          <w:sz w:val="22"/>
          <w:szCs w:val="22"/>
        </w:rPr>
        <w:t xml:space="preserve">. </w:t>
      </w:r>
      <w:r w:rsidR="006C50CA">
        <w:rPr>
          <w:rFonts w:ascii="Myriad Pro" w:hAnsi="Myriad Pro" w:hint="eastAsia"/>
          <w:sz w:val="22"/>
          <w:szCs w:val="22"/>
          <w:lang w:eastAsia="zh-CN"/>
        </w:rPr>
        <w:t xml:space="preserve">Therefore, we </w:t>
      </w:r>
      <w:r w:rsidR="00B013AF">
        <w:rPr>
          <w:rFonts w:ascii="Myriad Pro" w:hAnsi="Myriad Pro"/>
          <w:sz w:val="22"/>
          <w:szCs w:val="22"/>
          <w:lang w:eastAsia="zh-CN"/>
        </w:rPr>
        <w:t>apply only the predicted P–T OOD filter (the TAS-field melt-composition OOD filter is also unavailable</w:t>
      </w:r>
      <w:r w:rsidR="00E849C7">
        <w:rPr>
          <w:rFonts w:ascii="Myriad Pro" w:hAnsi="Myriad Pro" w:hint="eastAsia"/>
          <w:sz w:val="22"/>
          <w:szCs w:val="22"/>
          <w:lang w:eastAsia="zh-CN"/>
        </w:rPr>
        <w:t xml:space="preserve">) </w:t>
      </w:r>
      <w:r w:rsidR="006C50CA">
        <w:rPr>
          <w:rFonts w:ascii="Myriad Pro" w:hAnsi="Myriad Pro" w:hint="eastAsia"/>
          <w:sz w:val="22"/>
          <w:szCs w:val="22"/>
          <w:lang w:eastAsia="zh-CN"/>
        </w:rPr>
        <w:t xml:space="preserve">to </w:t>
      </w:r>
      <w:r w:rsidR="00E849C7">
        <w:rPr>
          <w:rFonts w:ascii="Myriad Pro" w:hAnsi="Myriad Pro"/>
          <w:sz w:val="22"/>
          <w:szCs w:val="22"/>
          <w:lang w:eastAsia="zh-CN"/>
        </w:rPr>
        <w:t>Putirka (2008)</w:t>
      </w:r>
      <w:r w:rsidRPr="00862F60">
        <w:rPr>
          <w:rFonts w:ascii="Myriad Pro" w:hAnsi="Myriad Pro"/>
          <w:sz w:val="22"/>
          <w:szCs w:val="22"/>
        </w:rPr>
        <w:t xml:space="preserve">. </w:t>
      </w:r>
      <w:r w:rsidR="00E849C7">
        <w:rPr>
          <w:rFonts w:ascii="Myriad Pro" w:hAnsi="Myriad Pro" w:hint="eastAsia"/>
          <w:sz w:val="22"/>
          <w:szCs w:val="22"/>
          <w:lang w:eastAsia="zh-CN"/>
        </w:rPr>
        <w:t xml:space="preserve">For feature-space OOD filtering, </w:t>
      </w:r>
      <w:r w:rsidR="00E849C7">
        <w:rPr>
          <w:rFonts w:ascii="Myriad Pro" w:hAnsi="Myriad Pro"/>
          <w:sz w:val="22"/>
          <w:szCs w:val="22"/>
        </w:rPr>
        <w:t>we</w:t>
      </w:r>
      <w:r w:rsidRPr="00862F60">
        <w:rPr>
          <w:rFonts w:ascii="Myriad Pro" w:hAnsi="Myriad Pro"/>
          <w:sz w:val="22"/>
          <w:szCs w:val="22"/>
        </w:rPr>
        <w:t xml:space="preserve"> appl</w:t>
      </w:r>
      <w:r w:rsidR="00E849C7">
        <w:rPr>
          <w:rFonts w:ascii="Myriad Pro" w:hAnsi="Myriad Pro" w:hint="eastAsia"/>
          <w:sz w:val="22"/>
          <w:szCs w:val="22"/>
          <w:lang w:eastAsia="zh-CN"/>
        </w:rPr>
        <w:t>y</w:t>
      </w:r>
      <w:r w:rsidRPr="00862F60">
        <w:rPr>
          <w:rFonts w:ascii="Myriad Pro" w:hAnsi="Myriad Pro"/>
          <w:sz w:val="22"/>
          <w:szCs w:val="22"/>
        </w:rPr>
        <w:t xml:space="preserve"> a conservative rule: if all </w:t>
      </w:r>
      <w:r w:rsidR="00E849C7">
        <w:rPr>
          <w:rFonts w:ascii="Myriad Pro" w:hAnsi="Myriad Pro" w:hint="eastAsia"/>
          <w:sz w:val="22"/>
          <w:szCs w:val="22"/>
          <w:lang w:eastAsia="zh-CN"/>
        </w:rPr>
        <w:t xml:space="preserve">other </w:t>
      </w:r>
      <w:r w:rsidRPr="00862F60">
        <w:rPr>
          <w:rFonts w:ascii="Myriad Pro" w:hAnsi="Myriad Pro"/>
          <w:sz w:val="22"/>
          <w:szCs w:val="22"/>
        </w:rPr>
        <w:t xml:space="preserve">thermobarometers with feature-space OOD filters classified a sample as OOD, the Putirka (2008) models were also </w:t>
      </w:r>
      <w:r w:rsidR="00E849C7">
        <w:rPr>
          <w:rFonts w:ascii="Myriad Pro" w:hAnsi="Myriad Pro" w:hint="eastAsia"/>
          <w:sz w:val="22"/>
          <w:szCs w:val="22"/>
          <w:lang w:eastAsia="zh-CN"/>
        </w:rPr>
        <w:t>filtered</w:t>
      </w:r>
      <w:r w:rsidRPr="00862F60">
        <w:rPr>
          <w:rFonts w:ascii="Myriad Pro" w:hAnsi="Myriad Pro"/>
          <w:sz w:val="22"/>
          <w:szCs w:val="22"/>
        </w:rPr>
        <w:t xml:space="preserve"> for that sample.</w:t>
      </w:r>
      <w:r w:rsidR="00E849C7">
        <w:rPr>
          <w:rFonts w:ascii="Myriad Pro" w:hAnsi="Myriad Pro" w:hint="eastAsia"/>
          <w:sz w:val="22"/>
          <w:szCs w:val="22"/>
          <w:lang w:eastAsia="zh-CN"/>
        </w:rPr>
        <w:t xml:space="preserve"> </w:t>
      </w:r>
    </w:p>
    <w:p w14:paraId="7167869F" w14:textId="77777777" w:rsidR="00862F60" w:rsidRPr="00862F60" w:rsidRDefault="00862F60" w:rsidP="00862F60">
      <w:pPr>
        <w:spacing w:before="100" w:beforeAutospacing="1" w:after="100" w:afterAutospacing="1"/>
        <w:jc w:val="both"/>
        <w:rPr>
          <w:rFonts w:ascii="Myriad Pro" w:hAnsi="Myriad Pro"/>
          <w:sz w:val="22"/>
          <w:szCs w:val="22"/>
          <w:lang w:eastAsia="zh-CN"/>
        </w:rPr>
      </w:pPr>
      <w:r w:rsidRPr="00862F60">
        <w:rPr>
          <w:rFonts w:ascii="Myriad Pro" w:hAnsi="Myriad Pro"/>
          <w:sz w:val="22"/>
          <w:szCs w:val="22"/>
        </w:rPr>
        <w:t xml:space="preserve">Deviation predictors were trained separately for each thermobarometer using the training subset of the independent dataset. The </w:t>
      </w:r>
      <w:r w:rsidR="00B013AF">
        <w:rPr>
          <w:rFonts w:ascii="Myriad Pro" w:hAnsi="Myriad Pro" w:hint="eastAsia"/>
          <w:sz w:val="22"/>
          <w:szCs w:val="22"/>
          <w:lang w:eastAsia="zh-CN"/>
        </w:rPr>
        <w:t xml:space="preserve">target (i.e., the predicted value) </w:t>
      </w:r>
      <w:r w:rsidRPr="00862F60">
        <w:rPr>
          <w:rFonts w:ascii="Myriad Pro" w:hAnsi="Myriad Pro"/>
          <w:sz w:val="22"/>
          <w:szCs w:val="22"/>
        </w:rPr>
        <w:t>was the absolute difference between the thermobarometer prediction and the pressure or temperature</w:t>
      </w:r>
      <w:r w:rsidR="00B013AF">
        <w:rPr>
          <w:rFonts w:ascii="Myriad Pro" w:hAnsi="Myriad Pro" w:hint="eastAsia"/>
          <w:sz w:val="22"/>
          <w:szCs w:val="22"/>
          <w:lang w:eastAsia="zh-CN"/>
        </w:rPr>
        <w:t xml:space="preserve"> measured in experiments (considered as </w:t>
      </w:r>
      <w:r w:rsidR="00B013AF">
        <w:rPr>
          <w:rFonts w:ascii="Myriad Pro" w:hAnsi="Myriad Pro"/>
          <w:sz w:val="22"/>
          <w:szCs w:val="22"/>
          <w:lang w:eastAsia="zh-CN"/>
        </w:rPr>
        <w:t>the “</w:t>
      </w:r>
      <w:r w:rsidR="00B013AF">
        <w:rPr>
          <w:rFonts w:ascii="Myriad Pro" w:hAnsi="Myriad Pro" w:hint="eastAsia"/>
          <w:sz w:val="22"/>
          <w:szCs w:val="22"/>
          <w:lang w:eastAsia="zh-CN"/>
        </w:rPr>
        <w:t>true</w:t>
      </w:r>
      <w:r w:rsidR="00B013AF">
        <w:rPr>
          <w:rFonts w:ascii="Myriad Pro" w:hAnsi="Myriad Pro"/>
          <w:sz w:val="22"/>
          <w:szCs w:val="22"/>
          <w:lang w:eastAsia="zh-CN"/>
        </w:rPr>
        <w:t>”</w:t>
      </w:r>
      <w:r w:rsidR="00B013AF">
        <w:rPr>
          <w:rFonts w:ascii="Myriad Pro" w:hAnsi="Myriad Pro" w:hint="eastAsia"/>
          <w:sz w:val="22"/>
          <w:szCs w:val="22"/>
          <w:lang w:eastAsia="zh-CN"/>
        </w:rPr>
        <w:t xml:space="preserve"> value in the thermobarometers)</w:t>
      </w:r>
      <w:r w:rsidRPr="00862F60">
        <w:rPr>
          <w:rFonts w:ascii="Myriad Pro" w:hAnsi="Myriad Pro"/>
          <w:sz w:val="22"/>
          <w:szCs w:val="22"/>
        </w:rPr>
        <w:t>.</w:t>
      </w:r>
      <w:r w:rsidR="00B013AF">
        <w:rPr>
          <w:rFonts w:ascii="Myriad Pro" w:hAnsi="Myriad Pro" w:hint="eastAsia"/>
          <w:sz w:val="22"/>
          <w:szCs w:val="22"/>
          <w:lang w:eastAsia="zh-CN"/>
        </w:rPr>
        <w:t xml:space="preserve"> </w:t>
      </w:r>
      <w:r w:rsidRPr="00862F60">
        <w:rPr>
          <w:rFonts w:ascii="Myriad Pro" w:hAnsi="Myriad Pro"/>
          <w:sz w:val="22"/>
          <w:szCs w:val="22"/>
        </w:rPr>
        <w:t xml:space="preserve">Several regression algorithms were tested for the deviation predictors, including k-nearest neighbors, random forest, ExtraTrees, </w:t>
      </w:r>
      <w:proofErr w:type="spellStart"/>
      <w:r w:rsidRPr="00862F60">
        <w:rPr>
          <w:rFonts w:ascii="Myriad Pro" w:hAnsi="Myriad Pro"/>
          <w:sz w:val="22"/>
          <w:szCs w:val="22"/>
        </w:rPr>
        <w:t>XGBoost</w:t>
      </w:r>
      <w:proofErr w:type="spellEnd"/>
      <w:r w:rsidR="00F16FC5">
        <w:rPr>
          <w:rFonts w:ascii="Myriad Pro" w:hAnsi="Myriad Pro" w:hint="eastAsia"/>
          <w:sz w:val="22"/>
          <w:szCs w:val="22"/>
          <w:lang w:eastAsia="zh-CN"/>
        </w:rPr>
        <w:t xml:space="preserve"> (</w:t>
      </w:r>
      <w:r w:rsidR="00F16FC5" w:rsidRPr="00862F60">
        <w:rPr>
          <w:rFonts w:ascii="Myriad Pro" w:hAnsi="Myriad Pro"/>
          <w:sz w:val="22"/>
          <w:szCs w:val="22"/>
        </w:rPr>
        <w:t xml:space="preserve">using the </w:t>
      </w:r>
      <w:proofErr w:type="spellStart"/>
      <w:r w:rsidR="00F16FC5" w:rsidRPr="00862F60">
        <w:rPr>
          <w:rFonts w:ascii="Myriad Pro" w:hAnsi="Myriad Pro"/>
          <w:sz w:val="22"/>
          <w:szCs w:val="22"/>
        </w:rPr>
        <w:t>XGBoost</w:t>
      </w:r>
      <w:proofErr w:type="spellEnd"/>
      <w:r w:rsidR="00F16FC5" w:rsidRPr="00862F60">
        <w:rPr>
          <w:rFonts w:ascii="Myriad Pro" w:hAnsi="Myriad Pro"/>
          <w:sz w:val="22"/>
          <w:szCs w:val="22"/>
        </w:rPr>
        <w:t xml:space="preserve"> package</w:t>
      </w:r>
      <w:r w:rsidR="00F16FC5">
        <w:rPr>
          <w:rFonts w:ascii="Myriad Pro" w:hAnsi="Myriad Pro" w:hint="eastAsia"/>
          <w:sz w:val="22"/>
          <w:szCs w:val="22"/>
          <w:lang w:eastAsia="zh-CN"/>
        </w:rPr>
        <w:t xml:space="preserve">; </w:t>
      </w:r>
      <w:r w:rsidR="00F16FC5" w:rsidRPr="00862F60">
        <w:rPr>
          <w:rFonts w:ascii="Myriad Pro" w:hAnsi="Myriad Pro"/>
          <w:sz w:val="22"/>
          <w:szCs w:val="22"/>
        </w:rPr>
        <w:t xml:space="preserve">Chen &amp; </w:t>
      </w:r>
      <w:proofErr w:type="spellStart"/>
      <w:r w:rsidR="00F16FC5" w:rsidRPr="00862F60">
        <w:rPr>
          <w:rFonts w:ascii="Myriad Pro" w:hAnsi="Myriad Pro"/>
          <w:sz w:val="22"/>
          <w:szCs w:val="22"/>
        </w:rPr>
        <w:t>Guestrin</w:t>
      </w:r>
      <w:proofErr w:type="spellEnd"/>
      <w:r w:rsidR="00F16FC5" w:rsidRPr="00862F60">
        <w:rPr>
          <w:rFonts w:ascii="Myriad Pro" w:hAnsi="Myriad Pro"/>
          <w:sz w:val="22"/>
          <w:szCs w:val="22"/>
        </w:rPr>
        <w:t>, 2016</w:t>
      </w:r>
      <w:r w:rsidR="00F16FC5">
        <w:rPr>
          <w:rFonts w:ascii="Myriad Pro" w:hAnsi="Myriad Pro" w:hint="eastAsia"/>
          <w:sz w:val="22"/>
          <w:szCs w:val="22"/>
          <w:lang w:eastAsia="zh-CN"/>
        </w:rPr>
        <w:t>)</w:t>
      </w:r>
      <w:r w:rsidRPr="00862F60">
        <w:rPr>
          <w:rFonts w:ascii="Myriad Pro" w:hAnsi="Myriad Pro"/>
          <w:sz w:val="22"/>
          <w:szCs w:val="22"/>
        </w:rPr>
        <w:t>, support vector regression, and kernel regression. ExtraTrees regression (Geurts et al., 2006), implemented in scikit-learn (Pedregosa et al., 2011), was used in the final workflow because it gave the best overall performance. For the ExtraTrees deviation predictors, hyperparameters were optimized using randomized search (</w:t>
      </w:r>
      <w:proofErr w:type="spellStart"/>
      <w:r w:rsidRPr="00862F60">
        <w:rPr>
          <w:rFonts w:ascii="Myriad Pro" w:hAnsi="Myriad Pro"/>
          <w:sz w:val="22"/>
          <w:szCs w:val="22"/>
        </w:rPr>
        <w:t>Bergstra</w:t>
      </w:r>
      <w:proofErr w:type="spellEnd"/>
      <w:r w:rsidRPr="00862F60">
        <w:rPr>
          <w:rFonts w:ascii="Myriad Pro" w:hAnsi="Myriad Pro"/>
          <w:sz w:val="22"/>
          <w:szCs w:val="22"/>
        </w:rPr>
        <w:t xml:space="preserve"> &amp; Bengio, </w:t>
      </w:r>
      <w:r w:rsidRPr="00862F60">
        <w:rPr>
          <w:rFonts w:ascii="Myriad Pro" w:hAnsi="Myriad Pro"/>
          <w:sz w:val="22"/>
          <w:szCs w:val="22"/>
        </w:rPr>
        <w:lastRenderedPageBreak/>
        <w:t>2012) with five-fold shuffled cross-validation (</w:t>
      </w:r>
      <w:proofErr w:type="spellStart"/>
      <w:r w:rsidRPr="00862F60">
        <w:rPr>
          <w:rFonts w:ascii="Myriad Pro" w:hAnsi="Myriad Pro"/>
          <w:sz w:val="22"/>
          <w:szCs w:val="22"/>
        </w:rPr>
        <w:t>Arlot</w:t>
      </w:r>
      <w:proofErr w:type="spellEnd"/>
      <w:r w:rsidRPr="00862F60">
        <w:rPr>
          <w:rFonts w:ascii="Myriad Pro" w:hAnsi="Myriad Pro"/>
          <w:sz w:val="22"/>
          <w:szCs w:val="22"/>
        </w:rPr>
        <w:t xml:space="preserve"> &amp; Celisse, 2010). The final model was selected based on cross-validated R²</w:t>
      </w:r>
      <w:r w:rsidR="00F16FC5">
        <w:rPr>
          <w:rFonts w:ascii="Myriad Pro" w:hAnsi="Myriad Pro" w:hint="eastAsia"/>
          <w:sz w:val="22"/>
          <w:szCs w:val="22"/>
          <w:lang w:eastAsia="zh-CN"/>
        </w:rPr>
        <w:t>.</w:t>
      </w:r>
    </w:p>
    <w:p w14:paraId="2BA46DA9" w14:textId="77777777" w:rsidR="007F711F" w:rsidRDefault="007F711F" w:rsidP="00E46984">
      <w:pPr>
        <w:spacing w:before="100" w:beforeAutospacing="1" w:after="100" w:afterAutospacing="1"/>
        <w:jc w:val="both"/>
        <w:rPr>
          <w:rFonts w:ascii="Myriad Pro" w:hAnsi="Myriad Pro"/>
          <w:sz w:val="22"/>
          <w:szCs w:val="22"/>
        </w:rPr>
        <w:sectPr w:rsidR="007F711F" w:rsidSect="00F125EE">
          <w:headerReference w:type="default" r:id="rId8"/>
          <w:pgSz w:w="12240" w:h="15840"/>
          <w:pgMar w:top="1440" w:right="1800" w:bottom="1440" w:left="1800" w:header="720" w:footer="720" w:gutter="0"/>
          <w:pgNumType w:start="1"/>
          <w:cols w:space="720"/>
          <w:docGrid w:linePitch="360"/>
        </w:sectPr>
      </w:pPr>
    </w:p>
    <w:p w14:paraId="5E0FB573" w14:textId="073563CF" w:rsidR="004A4741" w:rsidRDefault="00B03FBA" w:rsidP="004A4741">
      <w:pPr>
        <w:pStyle w:val="SMcaption"/>
      </w:pPr>
      <w:r>
        <w:rPr>
          <w:noProof/>
        </w:rPr>
        <w:lastRenderedPageBreak/>
        <w:drawing>
          <wp:inline distT="0" distB="0" distL="0" distR="0" wp14:anchorId="3970BFA0" wp14:editId="06E1C76C">
            <wp:extent cx="5478780" cy="5580380"/>
            <wp:effectExtent l="0" t="0" r="7620" b="1270"/>
            <wp:docPr id="1212832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78780" cy="5580380"/>
                    </a:xfrm>
                    <a:prstGeom prst="rect">
                      <a:avLst/>
                    </a:prstGeom>
                    <a:noFill/>
                    <a:ln>
                      <a:noFill/>
                    </a:ln>
                  </pic:spPr>
                </pic:pic>
              </a:graphicData>
            </a:graphic>
          </wp:inline>
        </w:drawing>
      </w:r>
    </w:p>
    <w:p w14:paraId="1BB0DA71" w14:textId="77777777" w:rsidR="004A4741" w:rsidRDefault="004A4741" w:rsidP="00A51643">
      <w:pPr>
        <w:pStyle w:val="SMHeading"/>
        <w:sectPr w:rsidR="004A4741" w:rsidSect="004A4741">
          <w:pgSz w:w="12240" w:h="15840"/>
          <w:pgMar w:top="1440" w:right="1800" w:bottom="1440" w:left="1800" w:header="720" w:footer="720" w:gutter="0"/>
          <w:pgNumType w:start="1"/>
          <w:cols w:space="720"/>
          <w:docGrid w:linePitch="360"/>
        </w:sectPr>
      </w:pPr>
      <w:r>
        <w:t>Figure S1. Distributions of clinopyroxene</w:t>
      </w:r>
      <w:r w:rsidR="00562BF1">
        <w:rPr>
          <w:rFonts w:hint="eastAsia"/>
          <w:lang w:eastAsia="zh-CN"/>
        </w:rPr>
        <w:t xml:space="preserve"> </w:t>
      </w:r>
      <w:r>
        <w:t>components in the calibration datasets of the clinopyroxene thermobarometer models considered in this study. Model abbreviations are defined in Table 1.</w:t>
      </w:r>
    </w:p>
    <w:p w14:paraId="6AB8D679" w14:textId="5CCE8B06" w:rsidR="004A4741" w:rsidRDefault="00B03FBA" w:rsidP="004A4741">
      <w:pPr>
        <w:pStyle w:val="SMcaption"/>
      </w:pPr>
      <w:r>
        <w:rPr>
          <w:noProof/>
        </w:rPr>
        <w:lastRenderedPageBreak/>
        <w:drawing>
          <wp:inline distT="0" distB="0" distL="0" distR="0" wp14:anchorId="513E0B92" wp14:editId="7D6AD7B2">
            <wp:extent cx="5443220" cy="5902325"/>
            <wp:effectExtent l="0" t="0" r="5080" b="3175"/>
            <wp:docPr id="17764738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43220" cy="5902325"/>
                    </a:xfrm>
                    <a:prstGeom prst="rect">
                      <a:avLst/>
                    </a:prstGeom>
                    <a:noFill/>
                    <a:ln>
                      <a:noFill/>
                    </a:ln>
                  </pic:spPr>
                </pic:pic>
              </a:graphicData>
            </a:graphic>
          </wp:inline>
        </w:drawing>
      </w:r>
    </w:p>
    <w:p w14:paraId="5008CD5A" w14:textId="7F9E1372" w:rsidR="004A4741" w:rsidRDefault="004A4741" w:rsidP="00A51643">
      <w:pPr>
        <w:pStyle w:val="SMHeading"/>
        <w:rPr>
          <w:lang w:eastAsia="zh-CN"/>
        </w:rPr>
        <w:sectPr w:rsidR="004A4741" w:rsidSect="004A4741">
          <w:pgSz w:w="12240" w:h="15840"/>
          <w:pgMar w:top="1440" w:right="1800" w:bottom="1440" w:left="1800" w:header="720" w:footer="720" w:gutter="0"/>
          <w:pgNumType w:start="1"/>
          <w:cols w:space="720"/>
          <w:docGrid w:linePitch="360"/>
        </w:sectPr>
      </w:pPr>
      <w:r>
        <w:t xml:space="preserve">Figure S2. Clinopyroxene </w:t>
      </w:r>
      <w:proofErr w:type="spellStart"/>
      <w:r>
        <w:t>Na₂O</w:t>
      </w:r>
      <w:proofErr w:type="spellEnd"/>
      <w:r>
        <w:t xml:space="preserve"> </w:t>
      </w:r>
      <w:r w:rsidR="00562BF1">
        <w:rPr>
          <w:lang w:eastAsia="zh-CN"/>
        </w:rPr>
        <w:t>versus</w:t>
      </w:r>
      <w:r w:rsidR="00562BF1">
        <w:rPr>
          <w:rFonts w:hint="eastAsia"/>
          <w:lang w:eastAsia="zh-CN"/>
        </w:rPr>
        <w:t xml:space="preserve"> </w:t>
      </w:r>
      <w:r>
        <w:t xml:space="preserve">CaO (a, c, e) and MgO </w:t>
      </w:r>
      <w:r w:rsidR="00562BF1">
        <w:rPr>
          <w:lang w:eastAsia="zh-CN"/>
        </w:rPr>
        <w:t>versus</w:t>
      </w:r>
      <w:r w:rsidR="00562BF1">
        <w:rPr>
          <w:rFonts w:hint="eastAsia"/>
          <w:lang w:eastAsia="zh-CN"/>
        </w:rPr>
        <w:t xml:space="preserve"> </w:t>
      </w:r>
      <w:proofErr w:type="spellStart"/>
      <w:r>
        <w:t>Al₂O</w:t>
      </w:r>
      <w:proofErr w:type="spellEnd"/>
      <w:r>
        <w:t xml:space="preserve">₃ (b, d, f) for the </w:t>
      </w:r>
      <w:r w:rsidR="00562BF1">
        <w:rPr>
          <w:rFonts w:hint="eastAsia"/>
          <w:lang w:eastAsia="zh-CN"/>
        </w:rPr>
        <w:t>calibration</w:t>
      </w:r>
      <w:r>
        <w:t xml:space="preserve"> datasets used by different </w:t>
      </w:r>
      <w:r w:rsidR="00562BF1">
        <w:t>thermobarometer</w:t>
      </w:r>
      <w:r w:rsidR="00562BF1">
        <w:rPr>
          <w:rFonts w:hint="eastAsia"/>
          <w:lang w:eastAsia="zh-CN"/>
        </w:rPr>
        <w:t xml:space="preserve"> models</w:t>
      </w:r>
      <w:r>
        <w:t xml:space="preserve">. Models are grouped by calibration-dataset size into large-, medium-, and small-dataset categories (see panel titles) and are distinguished by colors and symbols. Gray points show global clinopyroxene compositions from GEOROC, filtered using 97 &lt; </w:t>
      </w:r>
      <w:r w:rsidR="00562BF1">
        <w:rPr>
          <w:rFonts w:hint="eastAsia"/>
          <w:lang w:eastAsia="zh-CN"/>
        </w:rPr>
        <w:t xml:space="preserve">analysis total </w:t>
      </w:r>
      <w:r>
        <w:t>&lt; 103 wt%.</w:t>
      </w:r>
      <w:r w:rsidR="0073126E">
        <w:rPr>
          <w:rFonts w:hint="eastAsia"/>
          <w:lang w:eastAsia="zh-CN"/>
        </w:rPr>
        <w:t xml:space="preserve"> </w:t>
      </w:r>
      <w:r w:rsidR="0073126E">
        <w:t>Model abbreviations are defined in Table 1.</w:t>
      </w:r>
    </w:p>
    <w:p w14:paraId="7CBAD706" w14:textId="2DBC41CA" w:rsidR="004A4741" w:rsidRDefault="00B03FBA" w:rsidP="004A4741">
      <w:pPr>
        <w:pStyle w:val="SMcaption"/>
      </w:pPr>
      <w:r>
        <w:rPr>
          <w:noProof/>
        </w:rPr>
        <w:lastRenderedPageBreak/>
        <w:drawing>
          <wp:inline distT="0" distB="0" distL="0" distR="0" wp14:anchorId="33F4F2F8" wp14:editId="6056CFB2">
            <wp:extent cx="5443220" cy="5902325"/>
            <wp:effectExtent l="0" t="0" r="5080" b="3175"/>
            <wp:docPr id="15202367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43220" cy="5902325"/>
                    </a:xfrm>
                    <a:prstGeom prst="rect">
                      <a:avLst/>
                    </a:prstGeom>
                    <a:noFill/>
                    <a:ln>
                      <a:noFill/>
                    </a:ln>
                  </pic:spPr>
                </pic:pic>
              </a:graphicData>
            </a:graphic>
          </wp:inline>
        </w:drawing>
      </w:r>
    </w:p>
    <w:p w14:paraId="26D7FF83" w14:textId="764C74E5" w:rsidR="004A4741" w:rsidRDefault="004A4741" w:rsidP="00A51643">
      <w:pPr>
        <w:pStyle w:val="SMHeading"/>
        <w:rPr>
          <w:lang w:eastAsia="zh-CN"/>
        </w:rPr>
        <w:sectPr w:rsidR="004A4741" w:rsidSect="004A4741">
          <w:pgSz w:w="12240" w:h="15840"/>
          <w:pgMar w:top="1440" w:right="1800" w:bottom="1440" w:left="1800" w:header="720" w:footer="720" w:gutter="0"/>
          <w:pgNumType w:start="1"/>
          <w:cols w:space="720"/>
          <w:docGrid w:linePitch="360"/>
        </w:sectPr>
      </w:pPr>
      <w:r>
        <w:t xml:space="preserve">Figure S3. Clinopyroxene </w:t>
      </w:r>
      <w:proofErr w:type="spellStart"/>
      <w:r>
        <w:t>TiO</w:t>
      </w:r>
      <w:proofErr w:type="spellEnd"/>
      <w:r>
        <w:t xml:space="preserve">₂ </w:t>
      </w:r>
      <w:r w:rsidR="00562BF1">
        <w:rPr>
          <w:lang w:eastAsia="zh-CN"/>
        </w:rPr>
        <w:t>versus</w:t>
      </w:r>
      <w:r w:rsidR="00562BF1">
        <w:rPr>
          <w:rFonts w:hint="eastAsia"/>
          <w:lang w:eastAsia="zh-CN"/>
        </w:rPr>
        <w:t xml:space="preserve"> </w:t>
      </w:r>
      <w:r>
        <w:t xml:space="preserve">SiO₂ (a, c, e) and </w:t>
      </w:r>
      <w:proofErr w:type="spellStart"/>
      <w:r>
        <w:t>Cr₂O</w:t>
      </w:r>
      <w:proofErr w:type="spellEnd"/>
      <w:r>
        <w:t xml:space="preserve">₃ </w:t>
      </w:r>
      <w:r w:rsidR="00562BF1">
        <w:rPr>
          <w:lang w:eastAsia="zh-CN"/>
        </w:rPr>
        <w:t>versus</w:t>
      </w:r>
      <w:r w:rsidR="00562BF1">
        <w:rPr>
          <w:rFonts w:hint="eastAsia"/>
          <w:lang w:eastAsia="zh-CN"/>
        </w:rPr>
        <w:t xml:space="preserve"> </w:t>
      </w:r>
      <w:proofErr w:type="spellStart"/>
      <w:r>
        <w:t>FeO</w:t>
      </w:r>
      <w:proofErr w:type="spellEnd"/>
      <w:r>
        <w:t xml:space="preserve"> (b, d, f) </w:t>
      </w:r>
      <w:r w:rsidR="00562BF1">
        <w:t xml:space="preserve">for the </w:t>
      </w:r>
      <w:r w:rsidR="00562BF1">
        <w:rPr>
          <w:rFonts w:hint="eastAsia"/>
          <w:lang w:eastAsia="zh-CN"/>
        </w:rPr>
        <w:t>calibration</w:t>
      </w:r>
      <w:r w:rsidR="00562BF1">
        <w:t xml:space="preserve"> datasets used by different thermobarometer</w:t>
      </w:r>
      <w:r w:rsidR="00562BF1">
        <w:rPr>
          <w:rFonts w:hint="eastAsia"/>
          <w:lang w:eastAsia="zh-CN"/>
        </w:rPr>
        <w:t xml:space="preserve"> models</w:t>
      </w:r>
      <w:r w:rsidR="00562BF1">
        <w:t xml:space="preserve">. Models are grouped by calibration-dataset size into large-, medium-, and small-dataset categories (see panel titles) and are distinguished by colors and symbols. Gray points show global clinopyroxene compositions from GEOROC, filtered using 97 &lt; </w:t>
      </w:r>
      <w:r w:rsidR="00562BF1">
        <w:rPr>
          <w:rFonts w:hint="eastAsia"/>
          <w:lang w:eastAsia="zh-CN"/>
        </w:rPr>
        <w:t xml:space="preserve">analysis total </w:t>
      </w:r>
      <w:r w:rsidR="00562BF1">
        <w:t>&lt; 103 wt%.</w:t>
      </w:r>
      <w:r w:rsidR="0073126E">
        <w:rPr>
          <w:rFonts w:hint="eastAsia"/>
          <w:lang w:eastAsia="zh-CN"/>
        </w:rPr>
        <w:t xml:space="preserve"> </w:t>
      </w:r>
      <w:r w:rsidR="0073126E">
        <w:t>Model abbreviations are defined in Table 1</w:t>
      </w:r>
      <w:r w:rsidR="0073126E">
        <w:rPr>
          <w:rFonts w:hint="eastAsia"/>
          <w:lang w:eastAsia="zh-CN"/>
        </w:rPr>
        <w:t>.</w:t>
      </w:r>
    </w:p>
    <w:p w14:paraId="477201A8" w14:textId="3C75F410" w:rsidR="00F16FC5" w:rsidRDefault="00137BEA" w:rsidP="00F16FC5">
      <w:pPr>
        <w:pStyle w:val="SMcaption"/>
      </w:pPr>
      <w:r>
        <w:rPr>
          <w:noProof/>
        </w:rPr>
        <w:lastRenderedPageBreak/>
        <w:drawing>
          <wp:inline distT="0" distB="0" distL="0" distR="0" wp14:anchorId="0FB3D0A1" wp14:editId="3F4E5DEC">
            <wp:extent cx="5466080" cy="2947035"/>
            <wp:effectExtent l="0" t="0" r="1270" b="5715"/>
            <wp:docPr id="2491094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66080" cy="2947035"/>
                    </a:xfrm>
                    <a:prstGeom prst="rect">
                      <a:avLst/>
                    </a:prstGeom>
                    <a:noFill/>
                    <a:ln>
                      <a:noFill/>
                    </a:ln>
                  </pic:spPr>
                </pic:pic>
              </a:graphicData>
            </a:graphic>
          </wp:inline>
        </w:drawing>
      </w:r>
    </w:p>
    <w:p w14:paraId="7BB6654A" w14:textId="77777777" w:rsidR="00F16FC5" w:rsidRDefault="00F16FC5" w:rsidP="00A51643">
      <w:pPr>
        <w:pStyle w:val="SMHeading"/>
        <w:sectPr w:rsidR="00F16FC5" w:rsidSect="00F16FC5">
          <w:pgSz w:w="12240" w:h="15840"/>
          <w:pgMar w:top="1440" w:right="1800" w:bottom="1440" w:left="1800" w:header="720" w:footer="720" w:gutter="0"/>
          <w:pgNumType w:start="1"/>
          <w:cols w:space="720"/>
          <w:docGrid w:linePitch="360"/>
        </w:sectPr>
      </w:pPr>
      <w:r>
        <w:t xml:space="preserve">Figure S4. The ten most important clinopyroxene or liquid components for different barometers visualized by SHAP summary plots: (a–b, e–f, </w:t>
      </w:r>
      <w:proofErr w:type="spellStart"/>
      <w:r>
        <w:t>i</w:t>
      </w:r>
      <w:proofErr w:type="spellEnd"/>
      <w:r>
        <w:t>–j) clinopyroxene-only models; (c–d, g–h, k) clinopyroxene–liquid models. In each row, each point represents an experimental data point. Point colors indicate relative feature values, with red indicating higher component values and blue indicating lower component values. The sign and magnitude of the SHAP values reflect the direction and magnitude of each feature's contribution to the predicted pressure. Percentages shown in the feature labels indicate each feature's overall relative importance.</w:t>
      </w:r>
    </w:p>
    <w:p w14:paraId="1F58D13B" w14:textId="5426FD48" w:rsidR="00F16FC5" w:rsidRDefault="008B4F14" w:rsidP="00F16FC5">
      <w:pPr>
        <w:pStyle w:val="SMcaption"/>
      </w:pPr>
      <w:r>
        <w:rPr>
          <w:noProof/>
        </w:rPr>
        <w:lastRenderedPageBreak/>
        <w:drawing>
          <wp:inline distT="0" distB="0" distL="0" distR="0" wp14:anchorId="34E652B1" wp14:editId="6BDB3902">
            <wp:extent cx="5486400" cy="2957195"/>
            <wp:effectExtent l="0" t="0" r="0" b="0"/>
            <wp:docPr id="6501434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957195"/>
                    </a:xfrm>
                    <a:prstGeom prst="rect">
                      <a:avLst/>
                    </a:prstGeom>
                    <a:noFill/>
                    <a:ln>
                      <a:noFill/>
                    </a:ln>
                  </pic:spPr>
                </pic:pic>
              </a:graphicData>
            </a:graphic>
          </wp:inline>
        </w:drawing>
      </w:r>
    </w:p>
    <w:p w14:paraId="2D5F75F6" w14:textId="77777777" w:rsidR="00F16FC5" w:rsidRDefault="00F16FC5" w:rsidP="00A51643">
      <w:pPr>
        <w:pStyle w:val="SMHeading"/>
        <w:sectPr w:rsidR="00F16FC5" w:rsidSect="00F16FC5">
          <w:pgSz w:w="12240" w:h="15840"/>
          <w:pgMar w:top="1440" w:right="1800" w:bottom="1440" w:left="1800" w:header="720" w:footer="720" w:gutter="0"/>
          <w:pgNumType w:start="1"/>
          <w:cols w:space="720"/>
          <w:docGrid w:linePitch="360"/>
        </w:sectPr>
      </w:pPr>
      <w:r>
        <w:t xml:space="preserve">Figure S5. The ten most important clinopyroxene or liquid components for different thermometers visualized by SHAP summary plots: (a–b, e–f, </w:t>
      </w:r>
      <w:proofErr w:type="spellStart"/>
      <w:r>
        <w:t>i</w:t>
      </w:r>
      <w:proofErr w:type="spellEnd"/>
      <w:r>
        <w:t>–j) clinopyroxene-only models; (c–d, g–h, k) clinopyroxene–liquid models. In each row, each point represents an experimental data point. Point colors indicate relative feature values, with red indicating higher component values and blue indicating lower component values. The sign and magnitude of the SHAP values reflect the direction and magnitude of each feature's contribution to the predicted temperature. Percentages shown in the feature labels indicate each feature's overall relative importance.</w:t>
      </w:r>
    </w:p>
    <w:p w14:paraId="601F04D3" w14:textId="3B58601B" w:rsidR="009A0AFF" w:rsidRDefault="00581251" w:rsidP="009A0AFF">
      <w:r>
        <w:rPr>
          <w:noProof/>
        </w:rPr>
        <w:lastRenderedPageBreak/>
        <w:drawing>
          <wp:inline distT="0" distB="0" distL="0" distR="0" wp14:anchorId="22A95BB9" wp14:editId="1D1A71CD">
            <wp:extent cx="5486400" cy="5486400"/>
            <wp:effectExtent l="0" t="0" r="0" b="0"/>
            <wp:docPr id="97203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2108ED3E" w14:textId="73388EDE" w:rsidR="009A0AFF" w:rsidRDefault="009A0AFF" w:rsidP="00A51643">
      <w:pPr>
        <w:pStyle w:val="SMHeading"/>
        <w:rPr>
          <w:lang w:eastAsia="zh-CN"/>
        </w:rPr>
        <w:sectPr w:rsidR="009A0AFF" w:rsidSect="009A0AFF">
          <w:pgSz w:w="12240" w:h="15840"/>
          <w:pgMar w:top="1440" w:right="1800" w:bottom="1440" w:left="1800" w:header="720" w:footer="720" w:gutter="0"/>
          <w:pgNumType w:start="1"/>
          <w:cols w:space="720"/>
          <w:docGrid w:linePitch="360"/>
        </w:sectPr>
      </w:pPr>
      <w:r>
        <w:t>Figure S6. Sensitivity of AIMS4PT_cpx performance to repeated train–test splits. Blue circles show RMSE values from ten repeated pressure-stratified 80/20 train–test splits, and orange squares show the RMSE values from the original train–test split used in this study. Panels compare pressure and temperature estimates for clinopyroxene-only and clinopyroxene-liquid models. For pressure estimates, RMSE values are shown for both the full pressure range (0–30 kbar) of the test subset and the low-pressure subset (0–10 kbar). Pressure RMSE values are reported in kbar, and temperature RMSE values are reported in °C. The RMSE values reported in the main-test are broadly comparable to those obtained from alternative splits, indicating that the main performance results are not controlled by a single train–test partition.</w:t>
      </w:r>
    </w:p>
    <w:p w14:paraId="423D3AAE" w14:textId="77777777" w:rsidR="004A4741" w:rsidRPr="007D4878" w:rsidRDefault="004A4741" w:rsidP="004A4741">
      <w:pPr>
        <w:rPr>
          <w:lang w:val="en-GB"/>
        </w:rPr>
      </w:pPr>
      <w:r w:rsidRPr="007D4878">
        <w:rPr>
          <w:noProof/>
          <w:lang w:val="en-GB"/>
        </w:rPr>
        <w:lastRenderedPageBreak/>
        <w:drawing>
          <wp:inline distT="0" distB="0" distL="0" distR="0" wp14:anchorId="49C07851" wp14:editId="77D49017">
            <wp:extent cx="5338233" cy="5640601"/>
            <wp:effectExtent l="0" t="0" r="0" b="0"/>
            <wp:docPr id="183016645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349197" cy="5652186"/>
                    </a:xfrm>
                    <a:prstGeom prst="rect">
                      <a:avLst/>
                    </a:prstGeom>
                    <a:ln/>
                  </pic:spPr>
                </pic:pic>
              </a:graphicData>
            </a:graphic>
          </wp:inline>
        </w:drawing>
      </w:r>
    </w:p>
    <w:p w14:paraId="4200F6A8" w14:textId="77777777" w:rsidR="004A4741" w:rsidRPr="004A4741" w:rsidRDefault="004A4741" w:rsidP="00A51643">
      <w:pPr>
        <w:pStyle w:val="SMHeading"/>
        <w:rPr>
          <w:rFonts w:eastAsia="Times New Roman"/>
          <w:color w:val="000000"/>
        </w:rPr>
        <w:sectPr w:rsidR="004A4741" w:rsidRPr="004A4741" w:rsidSect="00F125EE">
          <w:pgSz w:w="12240" w:h="15840"/>
          <w:pgMar w:top="1440" w:right="1800" w:bottom="1440" w:left="1800" w:header="720" w:footer="720" w:gutter="0"/>
          <w:pgNumType w:start="1"/>
          <w:cols w:space="720"/>
          <w:docGrid w:linePitch="360"/>
        </w:sectPr>
      </w:pPr>
      <w:r>
        <w:t xml:space="preserve">Figure S7. Weighted signed distance from the calibration-dataset boundary plotted against absolute deviation for different clinopyroxene-only barometers. Negative distances indicate out-of-distribution (OOD) samples according to the feature-space OOD criterion, whereas positive distances indicate feature-in-distribution samples. Each point represents a sample from the independent dataset compiled in this study, and its color indicates experimental pressure. OOD samples are outlined in red, with different symbols denoting different OOD criteria (see legend). The </w:t>
      </w:r>
      <w:proofErr w:type="gramStart"/>
      <w:r>
        <w:t>mean</w:t>
      </w:r>
      <w:proofErr w:type="gramEnd"/>
      <w:r>
        <w:t xml:space="preserve"> absolute deviations and interquartile ranges for feature-in-distribution and feature-OOD samples are shown by horizontal solid lines and shaded bands, respectively.</w:t>
      </w:r>
    </w:p>
    <w:p w14:paraId="3A0375E1" w14:textId="77777777" w:rsidR="00910581" w:rsidRPr="005314B5" w:rsidRDefault="00DA461C" w:rsidP="004A4741">
      <w:pPr>
        <w:pStyle w:val="SMcaption"/>
        <w:jc w:val="both"/>
        <w:rPr>
          <w:rFonts w:ascii="Myriad Pro" w:hAnsi="Myriad Pro"/>
          <w:sz w:val="22"/>
          <w:szCs w:val="22"/>
        </w:rPr>
      </w:pPr>
      <w:r>
        <w:rPr>
          <w:rFonts w:ascii="Myriad Pro" w:hAnsi="Myriad Pro"/>
          <w:noProof/>
          <w:sz w:val="22"/>
          <w:szCs w:val="22"/>
        </w:rPr>
        <w:lastRenderedPageBreak/>
        <w:drawing>
          <wp:inline distT="0" distB="0" distL="0" distR="0" wp14:anchorId="5AFFB367" wp14:editId="7729A31B">
            <wp:extent cx="5242592" cy="5541109"/>
            <wp:effectExtent l="0" t="0" r="0" b="2540"/>
            <wp:docPr id="173131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42592" cy="5541109"/>
                    </a:xfrm>
                    <a:prstGeom prst="rect">
                      <a:avLst/>
                    </a:prstGeom>
                    <a:noFill/>
                    <a:ln>
                      <a:noFill/>
                    </a:ln>
                  </pic:spPr>
                </pic:pic>
              </a:graphicData>
            </a:graphic>
          </wp:inline>
        </w:drawing>
      </w:r>
    </w:p>
    <w:p w14:paraId="31CE1354" w14:textId="77777777" w:rsidR="00E46984" w:rsidRDefault="00910581" w:rsidP="00A51643">
      <w:pPr>
        <w:pStyle w:val="SMHeading"/>
        <w:sectPr w:rsidR="00E46984" w:rsidSect="00F125EE">
          <w:pgSz w:w="12240" w:h="15840"/>
          <w:pgMar w:top="1440" w:right="1800" w:bottom="1440" w:left="1800" w:header="720" w:footer="720" w:gutter="0"/>
          <w:pgNumType w:start="1"/>
          <w:cols w:space="720"/>
          <w:docGrid w:linePitch="360"/>
        </w:sectPr>
      </w:pPr>
      <w:r>
        <w:t xml:space="preserve">Figure S8. Weighted signed distance from the calibration-dataset boundary plotted against absolute deviation for different clinopyroxene–liquid barometers. Negative distances indicate out-of-distribution (OOD) samples according to the feature-space OOD criterion, whereas positive distances indicate feature-in-distribution samples. Each point represents a sample from the independent dataset compiled in this study, and its color indicates experimental pressure. OOD samples are outlined in red, with different symbols denoting different OOD criteria (see legend). The </w:t>
      </w:r>
      <w:proofErr w:type="gramStart"/>
      <w:r>
        <w:t>mean</w:t>
      </w:r>
      <w:proofErr w:type="gramEnd"/>
      <w:r>
        <w:t xml:space="preserve"> absolute deviations and interquartile ranges for feature-in-distribution and feature-OOD samples are shown by horizontal solid lines and shaded bands, respectively.</w:t>
      </w:r>
    </w:p>
    <w:p w14:paraId="49C84825" w14:textId="77777777" w:rsidR="00910581" w:rsidRPr="00910581" w:rsidRDefault="00DA461C" w:rsidP="00E46984">
      <w:pPr>
        <w:pStyle w:val="SMcaption"/>
        <w:jc w:val="both"/>
        <w:rPr>
          <w:lang w:eastAsia="zh-CN"/>
        </w:rPr>
      </w:pPr>
      <w:r w:rsidRPr="00DA461C">
        <w:rPr>
          <w:rFonts w:hint="eastAsia"/>
          <w:noProof/>
        </w:rPr>
        <w:lastRenderedPageBreak/>
        <w:drawing>
          <wp:inline distT="0" distB="0" distL="0" distR="0" wp14:anchorId="1F98632F" wp14:editId="3ABCC6F6">
            <wp:extent cx="5161695" cy="5455606"/>
            <wp:effectExtent l="0" t="0" r="1270" b="0"/>
            <wp:docPr id="16627306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66508" cy="5460693"/>
                    </a:xfrm>
                    <a:prstGeom prst="rect">
                      <a:avLst/>
                    </a:prstGeom>
                    <a:noFill/>
                    <a:ln>
                      <a:noFill/>
                    </a:ln>
                  </pic:spPr>
                </pic:pic>
              </a:graphicData>
            </a:graphic>
          </wp:inline>
        </w:drawing>
      </w:r>
    </w:p>
    <w:p w14:paraId="238489FC" w14:textId="77777777" w:rsidR="002D62B0" w:rsidRDefault="00DA461C" w:rsidP="00A51643">
      <w:pPr>
        <w:pStyle w:val="SMHeading"/>
        <w:sectPr w:rsidR="002D62B0" w:rsidSect="00F125EE">
          <w:pgSz w:w="12240" w:h="15840"/>
          <w:pgMar w:top="1440" w:right="1800" w:bottom="1440" w:left="1800" w:header="720" w:footer="720" w:gutter="0"/>
          <w:pgNumType w:start="1"/>
          <w:cols w:space="720"/>
          <w:docGrid w:linePitch="360"/>
        </w:sectPr>
      </w:pPr>
      <w:r>
        <w:t xml:space="preserve">Figure S9. Weighted signed distance from the calibration-dataset boundary plotted against absolute deviation for different clinopyroxene-only thermometers. Negative distances indicate out-of-distribution (OOD) samples according to the feature-space OOD criterion, whereas positive distances indicate feature-in-distribution samples. Each point represents a sample from the independent dataset compiled in this study, and its color indicates experimental temperature. OOD samples are outlined in red, with different symbols denoting different OOD criteria (see legend). The </w:t>
      </w:r>
      <w:proofErr w:type="gramStart"/>
      <w:r>
        <w:t>mean</w:t>
      </w:r>
      <w:proofErr w:type="gramEnd"/>
      <w:r>
        <w:t xml:space="preserve"> absolute deviations and interquartile ranges for feature-in-distribution and feature-OOD samples are shown by horizontal solid lines and shaded bands, respectively.</w:t>
      </w:r>
    </w:p>
    <w:p w14:paraId="2EAE5A85" w14:textId="4F176D5A" w:rsidR="005314B5" w:rsidRDefault="000B0EF9" w:rsidP="00E46984">
      <w:pPr>
        <w:pStyle w:val="SMcaption"/>
        <w:jc w:val="both"/>
        <w:rPr>
          <w:rFonts w:ascii="Myriad Pro" w:hAnsi="Myriad Pro"/>
          <w:sz w:val="22"/>
          <w:szCs w:val="22"/>
        </w:rPr>
      </w:pPr>
      <w:r w:rsidRPr="000B0EF9">
        <w:rPr>
          <w:rFonts w:ascii="Myriad Pro" w:hAnsi="Myriad Pro"/>
          <w:noProof/>
          <w:sz w:val="22"/>
          <w:szCs w:val="22"/>
        </w:rPr>
        <w:lastRenderedPageBreak/>
        <w:drawing>
          <wp:inline distT="0" distB="0" distL="0" distR="0" wp14:anchorId="50CAE63E" wp14:editId="37B9EA70">
            <wp:extent cx="5486400" cy="3930650"/>
            <wp:effectExtent l="0" t="0" r="0" b="0"/>
            <wp:docPr id="444326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26064" name=""/>
                    <pic:cNvPicPr/>
                  </pic:nvPicPr>
                  <pic:blipFill>
                    <a:blip r:embed="rId18"/>
                    <a:stretch>
                      <a:fillRect/>
                    </a:stretch>
                  </pic:blipFill>
                  <pic:spPr>
                    <a:xfrm>
                      <a:off x="0" y="0"/>
                      <a:ext cx="5486400" cy="3930650"/>
                    </a:xfrm>
                    <a:prstGeom prst="rect">
                      <a:avLst/>
                    </a:prstGeom>
                  </pic:spPr>
                </pic:pic>
              </a:graphicData>
            </a:graphic>
          </wp:inline>
        </w:drawing>
      </w:r>
    </w:p>
    <w:p w14:paraId="51B22729" w14:textId="77777777" w:rsidR="00B03FBA" w:rsidRDefault="00DA461C" w:rsidP="00A51643">
      <w:pPr>
        <w:pStyle w:val="SMHeading"/>
        <w:sectPr w:rsidR="00B03FBA" w:rsidSect="00B03FBA">
          <w:pgSz w:w="12240" w:h="15840"/>
          <w:pgMar w:top="1440" w:right="1800" w:bottom="1440" w:left="1800" w:header="720" w:footer="720" w:gutter="0"/>
          <w:pgNumType w:start="1"/>
          <w:cols w:space="720"/>
          <w:docGrid w:linePitch="360"/>
        </w:sectPr>
      </w:pPr>
      <w:r>
        <w:t xml:space="preserve">Figure S10. Weighted signed distance from the calibration-dataset boundary plotted against absolute deviation for different clinopyroxene–liquid thermometers. Negative distances indicate out-of-distribution (OOD) samples according to the feature-space OOD criterion, whereas positive distances indicate feature-in-distribution samples. Each point represents a sample from the independent dataset compiled in this study, and its color indicates experimental temperature. OOD samples are outlined in red, with different symbols denoting different OOD criteria (see legend). The </w:t>
      </w:r>
      <w:proofErr w:type="gramStart"/>
      <w:r>
        <w:t>mean</w:t>
      </w:r>
      <w:proofErr w:type="gramEnd"/>
      <w:r>
        <w:t xml:space="preserve"> absolute deviations and interquartile ranges for feature-in-distribution and feature-OOD samples are shown by horizontal solid lines and shaded bands, respectively.</w:t>
      </w:r>
    </w:p>
    <w:p w14:paraId="3B8E922A" w14:textId="205305F6" w:rsidR="00B03FBA" w:rsidRDefault="00E97D34" w:rsidP="00B03FBA">
      <w:pPr>
        <w:pStyle w:val="SMcaption"/>
        <w:jc w:val="both"/>
        <w:rPr>
          <w:rFonts w:ascii="Myriad Pro" w:hAnsi="Myriad Pro"/>
          <w:sz w:val="22"/>
          <w:szCs w:val="22"/>
        </w:rPr>
      </w:pPr>
      <w:r>
        <w:rPr>
          <w:noProof/>
        </w:rPr>
        <w:lastRenderedPageBreak/>
        <w:drawing>
          <wp:inline distT="0" distB="0" distL="0" distR="0" wp14:anchorId="48A9E1F1" wp14:editId="73690E35">
            <wp:extent cx="4917440" cy="1842135"/>
            <wp:effectExtent l="0" t="0" r="0" b="5715"/>
            <wp:docPr id="1180424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17440" cy="1842135"/>
                    </a:xfrm>
                    <a:prstGeom prst="rect">
                      <a:avLst/>
                    </a:prstGeom>
                    <a:noFill/>
                    <a:ln>
                      <a:noFill/>
                    </a:ln>
                  </pic:spPr>
                </pic:pic>
              </a:graphicData>
            </a:graphic>
          </wp:inline>
        </w:drawing>
      </w:r>
    </w:p>
    <w:p w14:paraId="678A3264" w14:textId="200421FA" w:rsidR="00B03FBA" w:rsidRPr="00B03FBA" w:rsidRDefault="00B03FBA" w:rsidP="00B03FBA">
      <w:pPr>
        <w:pStyle w:val="SMHeading"/>
        <w:sectPr w:rsidR="00B03FBA" w:rsidRPr="00B03FBA" w:rsidSect="00B03FBA">
          <w:pgSz w:w="12240" w:h="15840"/>
          <w:pgMar w:top="1440" w:right="1800" w:bottom="1440" w:left="1800" w:header="720" w:footer="720" w:gutter="0"/>
          <w:pgNumType w:start="1"/>
          <w:cols w:space="720"/>
          <w:docGrid w:linePitch="360"/>
        </w:sectPr>
      </w:pPr>
      <w:r>
        <w:t>Figure S11. Effect of oxide-specific analytical uncertainty on clinopyroxene-liquid thermobarometric models. Panels show median absolute changes in predicted (a, b) pressure and (c, d) temperature caused by central plus-minus perturbations of clinopyroxene compositions (a, c) and liquid compositions (b, d). Rows represent individual cpx-liquid models, columns represent perturbed oxides, and color intensity indicates the median absolute effect across valid test-subset samples. Pressure effects are reported in kbar and temperature effects in °C. Model abbreviations follow Table 1.</w:t>
      </w:r>
    </w:p>
    <w:p w14:paraId="26852221" w14:textId="77777777" w:rsidR="000B4731" w:rsidRDefault="000B4731" w:rsidP="000B4731">
      <w:pPr>
        <w:pStyle w:val="SMcaption"/>
        <w:jc w:val="both"/>
        <w:rPr>
          <w:rFonts w:ascii="Myriad Pro" w:hAnsi="Myriad Pro"/>
          <w:sz w:val="22"/>
          <w:szCs w:val="22"/>
        </w:rPr>
      </w:pPr>
      <w:r>
        <w:rPr>
          <w:rFonts w:ascii="Myriad Pro" w:hAnsi="Myriad Pro"/>
          <w:noProof/>
          <w:sz w:val="22"/>
          <w:szCs w:val="22"/>
        </w:rPr>
        <w:lastRenderedPageBreak/>
        <w:drawing>
          <wp:inline distT="0" distB="0" distL="0" distR="0" wp14:anchorId="767080D9" wp14:editId="550BF0A7">
            <wp:extent cx="4921250" cy="3037840"/>
            <wp:effectExtent l="0" t="0" r="0" b="0"/>
            <wp:docPr id="1734149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21250" cy="3037840"/>
                    </a:xfrm>
                    <a:prstGeom prst="rect">
                      <a:avLst/>
                    </a:prstGeom>
                    <a:noFill/>
                    <a:ln>
                      <a:noFill/>
                    </a:ln>
                  </pic:spPr>
                </pic:pic>
              </a:graphicData>
            </a:graphic>
          </wp:inline>
        </w:drawing>
      </w:r>
    </w:p>
    <w:p w14:paraId="5C7B04B5" w14:textId="6B1DE677" w:rsidR="000B4731" w:rsidRPr="00B03FBA" w:rsidRDefault="000B4731" w:rsidP="000B4731">
      <w:pPr>
        <w:pStyle w:val="SMHeading"/>
        <w:sectPr w:rsidR="000B4731" w:rsidRPr="00B03FBA" w:rsidSect="000B4731">
          <w:pgSz w:w="12240" w:h="15840"/>
          <w:pgMar w:top="1440" w:right="1800" w:bottom="1440" w:left="1800" w:header="720" w:footer="720" w:gutter="0"/>
          <w:pgNumType w:start="1"/>
          <w:cols w:space="720"/>
          <w:docGrid w:linePitch="360"/>
        </w:sectPr>
      </w:pPr>
      <w:r>
        <w:t>Figure S12. Effect of oxide-specific analytical uncertainty in clinopyroxene compositions on clinopyroxene-only thermobarometric models. Panels show median absolute changes in predicted (a) pressure and (b) temperature from central plus-minus perturbations of individual clinopyroxene oxides. Rows represent individual cpx-only models, columns represent perturbed oxides, and color intensity indicates the median absolute effect across valid test-subset samples. Pressure effects are reported in kbar and temperature effects in °C. Model abbreviations follow Table 1.</w:t>
      </w:r>
    </w:p>
    <w:p w14:paraId="66F2A10F" w14:textId="77777777" w:rsidR="003F1F35" w:rsidRDefault="003F1F35" w:rsidP="003F1F35">
      <w:pPr>
        <w:pStyle w:val="SMcaption"/>
        <w:jc w:val="center"/>
      </w:pPr>
      <w:r>
        <w:rPr>
          <w:noProof/>
        </w:rPr>
        <w:lastRenderedPageBreak/>
        <w:drawing>
          <wp:inline distT="0" distB="0" distL="0" distR="0" wp14:anchorId="462532D3" wp14:editId="1C1BA33E">
            <wp:extent cx="5486400" cy="3490615"/>
            <wp:effectExtent l="0" t="0" r="0" b="0"/>
            <wp:docPr id="2063694902" name="Picture 2063694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subset_kd_bin_residual_iqr_composite.png"/>
                    <pic:cNvPicPr/>
                  </pic:nvPicPr>
                  <pic:blipFill>
                    <a:blip r:embed="rId21"/>
                    <a:stretch>
                      <a:fillRect/>
                    </a:stretch>
                  </pic:blipFill>
                  <pic:spPr>
                    <a:xfrm>
                      <a:off x="0" y="0"/>
                      <a:ext cx="5486400" cy="3490615"/>
                    </a:xfrm>
                    <a:prstGeom prst="rect">
                      <a:avLst/>
                    </a:prstGeom>
                  </pic:spPr>
                </pic:pic>
              </a:graphicData>
            </a:graphic>
          </wp:inline>
        </w:drawing>
      </w:r>
    </w:p>
    <w:p w14:paraId="0519B443" w14:textId="23E5F99D" w:rsidR="003F1F35" w:rsidRDefault="003F1F35" w:rsidP="003F1F35">
      <w:pPr>
        <w:pStyle w:val="SMHeading"/>
      </w:pPr>
      <w:r>
        <w:t>Figure SXX. Kd-bin residual distributions for clinopyroxene-liquid thermobarometers evaluated on the independent test subset. Bins span Kd(Fe-Mg) = 0.20-0.36 at 0.02 intervals. Points show median residuals, defined as predicted minus experimental pressure or temperature, and vertical bars show interquartile ranges (Q1-Q3). The dashed horizontal line marks zero residual. Panel (a) shows pressure residuals for clinopyroxene-liquid barometers; panel (b) shows temperature residuals for clinopyroxene-liquid thermometers. Model abbreviations follow Table 1.</w:t>
      </w:r>
    </w:p>
    <w:p w14:paraId="65D6BD22" w14:textId="77777777" w:rsidR="003F1F35" w:rsidRDefault="003F1F35" w:rsidP="008D2006">
      <w:pPr>
        <w:pStyle w:val="SMcaption"/>
        <w:sectPr w:rsidR="003F1F35" w:rsidSect="00F125EE">
          <w:pgSz w:w="12240" w:h="15840"/>
          <w:pgMar w:top="1440" w:right="1800" w:bottom="1440" w:left="1800" w:header="720" w:footer="720" w:gutter="0"/>
          <w:pgNumType w:start="1"/>
          <w:cols w:space="720"/>
          <w:docGrid w:linePitch="360"/>
        </w:sectPr>
      </w:pPr>
    </w:p>
    <w:p w14:paraId="6E822E26" w14:textId="77777777" w:rsidR="009D38EE" w:rsidRDefault="008D2006" w:rsidP="008D2006">
      <w:pPr>
        <w:pStyle w:val="SMcaption"/>
      </w:pPr>
      <w:r>
        <w:rPr>
          <w:noProof/>
        </w:rPr>
        <w:lastRenderedPageBreak/>
        <w:drawing>
          <wp:inline distT="0" distB="0" distL="0" distR="0" wp14:anchorId="47E2AA8C" wp14:editId="045FBEE2">
            <wp:extent cx="5486400" cy="5274570"/>
            <wp:effectExtent l="0" t="0" r="0" b="2540"/>
            <wp:docPr id="12472905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3861"/>
                    <a:stretch>
                      <a:fillRect/>
                    </a:stretch>
                  </pic:blipFill>
                  <pic:spPr bwMode="auto">
                    <a:xfrm>
                      <a:off x="0" y="0"/>
                      <a:ext cx="5486400" cy="5274570"/>
                    </a:xfrm>
                    <a:prstGeom prst="rect">
                      <a:avLst/>
                    </a:prstGeom>
                    <a:noFill/>
                    <a:ln>
                      <a:noFill/>
                    </a:ln>
                    <a:extLst>
                      <a:ext uri="{53640926-AAD7-44D8-BBD7-CCE9431645EC}">
                        <a14:shadowObscured xmlns:a14="http://schemas.microsoft.com/office/drawing/2010/main"/>
                      </a:ext>
                    </a:extLst>
                  </pic:spPr>
                </pic:pic>
              </a:graphicData>
            </a:graphic>
          </wp:inline>
        </w:drawing>
      </w:r>
    </w:p>
    <w:p w14:paraId="133164B7" w14:textId="7EFF00CE" w:rsidR="002D62B0" w:rsidRPr="008D2006" w:rsidRDefault="00A51643" w:rsidP="00A51643">
      <w:pPr>
        <w:pStyle w:val="SMHeading"/>
        <w:rPr>
          <w:shd w:val="clear" w:color="auto" w:fill="FFFFFF"/>
          <w:lang w:eastAsia="zh-CN"/>
        </w:rPr>
        <w:sectPr w:rsidR="002D62B0" w:rsidRPr="008D2006" w:rsidSect="00F125EE">
          <w:pgSz w:w="12240" w:h="15840"/>
          <w:pgMar w:top="1440" w:right="1800" w:bottom="1440" w:left="1800" w:header="720" w:footer="720" w:gutter="0"/>
          <w:pgNumType w:start="1"/>
          <w:cols w:space="720"/>
          <w:docGrid w:linePitch="360"/>
        </w:sectPr>
      </w:pPr>
      <w:r>
        <w:t>Figure S13. Merapi glass composition screening using Tukey fences for Al₂O₃, Na₂O, CaO, and MgO, which are important liquid components for P–T estimation and were therefore used to screen candidate glass compositions. Panels show glass analyses from the (a) 2006 and (b) 2010 eruptions. The gray dashed horizontal bars show the lower and upper Tukey bounds, defined as Q1 − 1.5 × IQR (IQR: interquartile range) and Q3 + 1.5 × IQR, respectively. The colored crosses mark samples treated as outliers because they fall outside the bounds for one or more components (see legend).</w:t>
      </w:r>
    </w:p>
    <w:p w14:paraId="71E1823A" w14:textId="36482716" w:rsidR="000B4731" w:rsidRDefault="008A5A88" w:rsidP="000B4731">
      <w:pPr>
        <w:pStyle w:val="SMcaption"/>
        <w:jc w:val="both"/>
        <w:rPr>
          <w:rFonts w:ascii="Myriad Pro" w:hAnsi="Myriad Pro"/>
          <w:sz w:val="22"/>
          <w:szCs w:val="22"/>
        </w:rPr>
      </w:pPr>
      <w:r>
        <w:rPr>
          <w:rFonts w:ascii="Myriad Pro" w:hAnsi="Myriad Pro"/>
          <w:noProof/>
          <w:sz w:val="22"/>
          <w:szCs w:val="22"/>
        </w:rPr>
        <w:lastRenderedPageBreak/>
        <w:drawing>
          <wp:inline distT="0" distB="0" distL="0" distR="0" wp14:anchorId="275DA298" wp14:editId="6CA94EFD">
            <wp:extent cx="5471795" cy="4899025"/>
            <wp:effectExtent l="0" t="0" r="0" b="0"/>
            <wp:docPr id="15512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71795" cy="4899025"/>
                    </a:xfrm>
                    <a:prstGeom prst="rect">
                      <a:avLst/>
                    </a:prstGeom>
                    <a:noFill/>
                    <a:ln>
                      <a:noFill/>
                    </a:ln>
                  </pic:spPr>
                </pic:pic>
              </a:graphicData>
            </a:graphic>
          </wp:inline>
        </w:drawing>
      </w:r>
    </w:p>
    <w:p w14:paraId="734DE354" w14:textId="56D4828C" w:rsidR="000B4731" w:rsidRPr="00B03FBA" w:rsidRDefault="000B4731" w:rsidP="000B4731">
      <w:pPr>
        <w:pStyle w:val="SMHeading"/>
        <w:sectPr w:rsidR="000B4731" w:rsidRPr="00B03FBA" w:rsidSect="000B4731">
          <w:pgSz w:w="12240" w:h="15840"/>
          <w:pgMar w:top="1440" w:right="1800" w:bottom="1440" w:left="1800" w:header="720" w:footer="720" w:gutter="0"/>
          <w:pgNumType w:start="1"/>
          <w:cols w:space="720"/>
          <w:docGrid w:linePitch="360"/>
        </w:sectPr>
      </w:pPr>
      <w:r>
        <w:t xml:space="preserve">Figure S14. </w:t>
      </w:r>
      <w:r w:rsidR="007C67E6">
        <w:rPr>
          <w:lang w:eastAsia="zh-CN"/>
        </w:rPr>
        <w:t>Clinopyroxene–liquid pressure (a) and temperature (b) estimates using equilibrium (</w:t>
      </w:r>
      <w:proofErr w:type="spellStart"/>
      <w:proofErr w:type="gramStart"/>
      <w:r w:rsidR="007C67E6">
        <w:rPr>
          <w:lang w:eastAsia="zh-CN"/>
        </w:rPr>
        <w:t>Kd</w:t>
      </w:r>
      <w:proofErr w:type="spellEnd"/>
      <w:r w:rsidR="007C67E6">
        <w:rPr>
          <w:lang w:eastAsia="zh-CN"/>
        </w:rPr>
        <w:t>(</w:t>
      </w:r>
      <w:proofErr w:type="gramEnd"/>
      <w:r w:rsidR="007C67E6">
        <w:rPr>
          <w:lang w:eastAsia="zh-CN"/>
        </w:rPr>
        <w:t xml:space="preserve">Fe–Mg) = 0.28) clinopyroxene–liquid pairs for the (blue; N=42) and 2010 (red; N=106) Merapi eruptions. These figures show the models selected using AIMS4PT_cpx and favored by &gt; 5% of samples. For each model, the filled violin represents estimates obtained by applying that model to all filtered samples for the corresponding eruption, whereas the open violin represents estimates for only the subset of samples </w:t>
      </w:r>
      <w:r w:rsidR="007C67E6">
        <w:rPr>
          <w:rFonts w:hint="eastAsia"/>
          <w:lang w:eastAsia="zh-CN"/>
        </w:rPr>
        <w:t>by</w:t>
      </w:r>
      <w:r w:rsidR="007C67E6">
        <w:rPr>
          <w:lang w:eastAsia="zh-CN"/>
        </w:rPr>
        <w:t xml:space="preserve"> which that model was favored. Tukey-fence outliers are excluded. Black horizontal lines mark medians, and percentages indicate the proportion of filtered samples in the favored subset. </w:t>
      </w:r>
      <w:r w:rsidR="007C67E6">
        <w:rPr>
          <w:rFonts w:hint="eastAsia"/>
          <w:lang w:eastAsia="zh-CN"/>
        </w:rPr>
        <w:t xml:space="preserve">The bracket shows the RMSE of AIMS4PT_cpx. </w:t>
      </w:r>
      <w:r w:rsidR="007C67E6">
        <w:rPr>
          <w:lang w:eastAsia="zh-CN"/>
        </w:rPr>
        <w:t>Model abbreviations follow Table 1.</w:t>
      </w:r>
    </w:p>
    <w:p w14:paraId="0C4690BF" w14:textId="1F1A055A" w:rsidR="00A51643" w:rsidRDefault="00F83F3A" w:rsidP="00A51643">
      <w:pPr>
        <w:pStyle w:val="SMcaption"/>
      </w:pPr>
      <w:r>
        <w:rPr>
          <w:noProof/>
          <w:shd w:val="clear" w:color="auto" w:fill="FFFFFF"/>
        </w:rPr>
        <w:lastRenderedPageBreak/>
        <w:drawing>
          <wp:inline distT="0" distB="0" distL="0" distR="0" wp14:anchorId="38DB3D11" wp14:editId="6B00F73E">
            <wp:extent cx="5481320" cy="4119880"/>
            <wp:effectExtent l="0" t="0" r="5080" b="0"/>
            <wp:docPr id="12360014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1320" cy="4119880"/>
                    </a:xfrm>
                    <a:prstGeom prst="rect">
                      <a:avLst/>
                    </a:prstGeom>
                    <a:noFill/>
                    <a:ln>
                      <a:noFill/>
                    </a:ln>
                  </pic:spPr>
                </pic:pic>
              </a:graphicData>
            </a:graphic>
          </wp:inline>
        </w:drawing>
      </w:r>
    </w:p>
    <w:p w14:paraId="7E34749B" w14:textId="43BFF3E5" w:rsidR="00C9724E" w:rsidRPr="00A34758" w:rsidRDefault="001A433F" w:rsidP="00A34758">
      <w:pPr>
        <w:pStyle w:val="SMHeading"/>
        <w:rPr>
          <w:lang w:eastAsia="zh-CN"/>
        </w:rPr>
      </w:pPr>
      <w:r w:rsidRPr="001A433F">
        <w:t>Figure S1</w:t>
      </w:r>
      <w:r w:rsidR="008A5A88">
        <w:rPr>
          <w:rFonts w:hint="eastAsia"/>
          <w:lang w:eastAsia="zh-CN"/>
        </w:rPr>
        <w:t>5</w:t>
      </w:r>
      <w:r w:rsidRPr="001A433F">
        <w:t xml:space="preserve">. </w:t>
      </w:r>
      <w:r w:rsidR="005F2F70" w:rsidRPr="005F2F70">
        <w:t xml:space="preserve">Sensitivity of clinopyroxene–liquid pressure and temperature estimates to the </w:t>
      </w:r>
      <w:proofErr w:type="spellStart"/>
      <w:proofErr w:type="gramStart"/>
      <w:r w:rsidR="005F2F70" w:rsidRPr="005F2F70">
        <w:t>Kd</w:t>
      </w:r>
      <w:proofErr w:type="spellEnd"/>
      <w:r w:rsidR="005F2F70" w:rsidRPr="005F2F70">
        <w:t>(</w:t>
      </w:r>
      <w:proofErr w:type="gramEnd"/>
      <w:r w:rsidR="005F2F70" w:rsidRPr="005F2F70">
        <w:t xml:space="preserve">Fe–Mg) value used for equilibrium-liquid pairing. Pressure (a) and temperature (b) estimates are shown for the </w:t>
      </w:r>
      <w:r w:rsidR="005F2F70">
        <w:t>(blue</w:t>
      </w:r>
      <w:r w:rsidR="005F2F70">
        <w:rPr>
          <w:rFonts w:hint="eastAsia"/>
        </w:rPr>
        <w:t>; N=42</w:t>
      </w:r>
      <w:r w:rsidR="005F2F70">
        <w:t>) and 2010 (red;</w:t>
      </w:r>
      <w:r w:rsidR="005F2F70">
        <w:rPr>
          <w:rFonts w:hint="eastAsia"/>
        </w:rPr>
        <w:t xml:space="preserve"> N=106</w:t>
      </w:r>
      <w:r w:rsidR="005F2F70">
        <w:t>)</w:t>
      </w:r>
      <w:r w:rsidR="005F2F70">
        <w:rPr>
          <w:rFonts w:hint="eastAsia"/>
          <w:lang w:eastAsia="zh-CN"/>
        </w:rPr>
        <w:t xml:space="preserve"> </w:t>
      </w:r>
      <w:r w:rsidR="005F2F70" w:rsidRPr="005F2F70">
        <w:t xml:space="preserve">Merapi eruptions using paired clinopyroxene–liquid inputs generated with </w:t>
      </w:r>
      <w:proofErr w:type="spellStart"/>
      <w:proofErr w:type="gramStart"/>
      <w:r w:rsidR="005F2F70" w:rsidRPr="005F2F70">
        <w:t>Kd</w:t>
      </w:r>
      <w:proofErr w:type="spellEnd"/>
      <w:r w:rsidR="005F2F70" w:rsidRPr="005F2F70">
        <w:t>(</w:t>
      </w:r>
      <w:proofErr w:type="gramEnd"/>
      <w:r w:rsidR="005F2F70" w:rsidRPr="005F2F70">
        <w:t xml:space="preserve">Fe–Mg) </w:t>
      </w:r>
      <w:r w:rsidR="005F2F70">
        <w:rPr>
          <w:rFonts w:hint="eastAsia"/>
          <w:lang w:eastAsia="zh-CN"/>
        </w:rPr>
        <w:t>values</w:t>
      </w:r>
      <w:r w:rsidR="005F2F70" w:rsidRPr="005F2F70">
        <w:t xml:space="preserve"> of 0.28, 0.26, and 0.20. The same filtered clinopyroxene dataset was used for all three tests. For each model, the filled violin represents estimates obtained by applying that model to all filtered samples for the corresponding eruption, whereas the open violin represents estimates for only the subset of samples </w:t>
      </w:r>
      <w:r w:rsidR="007C67E6">
        <w:rPr>
          <w:lang w:eastAsia="zh-CN"/>
        </w:rPr>
        <w:t xml:space="preserve">for only the subset of samples </w:t>
      </w:r>
      <w:r w:rsidR="007C67E6">
        <w:rPr>
          <w:rFonts w:hint="eastAsia"/>
          <w:lang w:eastAsia="zh-CN"/>
        </w:rPr>
        <w:t>by</w:t>
      </w:r>
      <w:r w:rsidR="007C67E6">
        <w:rPr>
          <w:lang w:eastAsia="zh-CN"/>
        </w:rPr>
        <w:t xml:space="preserve"> which that model was favored. Tukey-fence outliers are excluded. </w:t>
      </w:r>
      <w:r w:rsidR="005F2F70" w:rsidRPr="005F2F70">
        <w:t>Black horizontal lines mark medians, and percentages indicate the proportion of filtered samples in the favored subset. Model abbreviations follow Table 1.</w:t>
      </w:r>
    </w:p>
    <w:sectPr w:rsidR="00C9724E" w:rsidRPr="00A34758" w:rsidSect="00F125EE">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22F77" w14:textId="77777777" w:rsidR="000A5EBB" w:rsidRDefault="000A5EBB">
      <w:r>
        <w:separator/>
      </w:r>
    </w:p>
  </w:endnote>
  <w:endnote w:type="continuationSeparator" w:id="0">
    <w:p w14:paraId="59EDAE7D" w14:textId="77777777" w:rsidR="000A5EBB" w:rsidRDefault="000A5E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yriad Pro">
    <w:altName w:val="Segoe UI"/>
    <w:panose1 w:val="00000000000000000000"/>
    <w:charset w:val="00"/>
    <w:family w:val="swiss"/>
    <w:notTrueType/>
    <w:pitch w:val="variable"/>
    <w:sig w:usb0="2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AA05D" w14:textId="77777777" w:rsidR="000A5EBB" w:rsidRDefault="000A5EBB">
      <w:r>
        <w:separator/>
      </w:r>
    </w:p>
  </w:footnote>
  <w:footnote w:type="continuationSeparator" w:id="0">
    <w:p w14:paraId="3DC09B63" w14:textId="77777777" w:rsidR="000A5EBB" w:rsidRDefault="000A5E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82B7E" w14:textId="77777777" w:rsidR="003A2FD8" w:rsidRPr="005001AC" w:rsidRDefault="003A2FD8" w:rsidP="005001AC">
    <w:pPr>
      <w:jc w:val="right"/>
      <w:rPr>
        <w:sz w:val="20"/>
      </w:rPr>
    </w:pPr>
  </w:p>
  <w:p w14:paraId="7E795EF4" w14:textId="77777777" w:rsidR="003A2FD8" w:rsidRDefault="003A2F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31901DB9"/>
    <w:multiLevelType w:val="hybridMultilevel"/>
    <w:tmpl w:val="00B6862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005F0F"/>
    <w:multiLevelType w:val="multilevel"/>
    <w:tmpl w:val="3A542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9D4332"/>
    <w:multiLevelType w:val="multilevel"/>
    <w:tmpl w:val="4ECE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D508A0"/>
    <w:multiLevelType w:val="multilevel"/>
    <w:tmpl w:val="02BA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D37AC4"/>
    <w:multiLevelType w:val="hybridMultilevel"/>
    <w:tmpl w:val="F894C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410DB6"/>
    <w:multiLevelType w:val="hybridMultilevel"/>
    <w:tmpl w:val="77E40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81017E"/>
    <w:multiLevelType w:val="hybridMultilevel"/>
    <w:tmpl w:val="DAD6D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1399125">
    <w:abstractNumId w:val="9"/>
  </w:num>
  <w:num w:numId="2" w16cid:durableId="2033215806">
    <w:abstractNumId w:val="7"/>
  </w:num>
  <w:num w:numId="3" w16cid:durableId="1944335922">
    <w:abstractNumId w:val="6"/>
  </w:num>
  <w:num w:numId="4" w16cid:durableId="880215763">
    <w:abstractNumId w:val="5"/>
  </w:num>
  <w:num w:numId="5" w16cid:durableId="1304894234">
    <w:abstractNumId w:val="4"/>
  </w:num>
  <w:num w:numId="6" w16cid:durableId="994188857">
    <w:abstractNumId w:val="8"/>
  </w:num>
  <w:num w:numId="7" w16cid:durableId="1506046954">
    <w:abstractNumId w:val="3"/>
  </w:num>
  <w:num w:numId="8" w16cid:durableId="31543740">
    <w:abstractNumId w:val="2"/>
  </w:num>
  <w:num w:numId="9" w16cid:durableId="1501461087">
    <w:abstractNumId w:val="1"/>
  </w:num>
  <w:num w:numId="10" w16cid:durableId="909004882">
    <w:abstractNumId w:val="0"/>
  </w:num>
  <w:num w:numId="11" w16cid:durableId="920213288">
    <w:abstractNumId w:val="12"/>
  </w:num>
  <w:num w:numId="12" w16cid:durableId="438374261">
    <w:abstractNumId w:val="14"/>
  </w:num>
  <w:num w:numId="13" w16cid:durableId="1146118364">
    <w:abstractNumId w:val="10"/>
  </w:num>
  <w:num w:numId="14" w16cid:durableId="1984233882">
    <w:abstractNumId w:val="16"/>
  </w:num>
  <w:num w:numId="15" w16cid:durableId="1230462683">
    <w:abstractNumId w:val="15"/>
  </w:num>
  <w:num w:numId="16" w16cid:durableId="1196040558">
    <w:abstractNumId w:val="13"/>
  </w:num>
  <w:num w:numId="17" w16cid:durableId="19369826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2"/>
  <w:proofState w:spelling="clean"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30F"/>
    <w:rsid w:val="00015F74"/>
    <w:rsid w:val="000216ED"/>
    <w:rsid w:val="00033A5C"/>
    <w:rsid w:val="00035933"/>
    <w:rsid w:val="0004150A"/>
    <w:rsid w:val="00043571"/>
    <w:rsid w:val="00063D14"/>
    <w:rsid w:val="00065EBD"/>
    <w:rsid w:val="00073F1E"/>
    <w:rsid w:val="00083B44"/>
    <w:rsid w:val="000850DC"/>
    <w:rsid w:val="00086C73"/>
    <w:rsid w:val="00092F39"/>
    <w:rsid w:val="00094365"/>
    <w:rsid w:val="000958B5"/>
    <w:rsid w:val="000A5EBB"/>
    <w:rsid w:val="000A7E38"/>
    <w:rsid w:val="000B0EF9"/>
    <w:rsid w:val="000B1B04"/>
    <w:rsid w:val="000B2E64"/>
    <w:rsid w:val="000B4731"/>
    <w:rsid w:val="000C2771"/>
    <w:rsid w:val="000D1E39"/>
    <w:rsid w:val="000D68BD"/>
    <w:rsid w:val="000E25A8"/>
    <w:rsid w:val="000F0DCE"/>
    <w:rsid w:val="000F28EB"/>
    <w:rsid w:val="00111843"/>
    <w:rsid w:val="00112C5B"/>
    <w:rsid w:val="00113908"/>
    <w:rsid w:val="00114193"/>
    <w:rsid w:val="001154E6"/>
    <w:rsid w:val="00115A38"/>
    <w:rsid w:val="0011687B"/>
    <w:rsid w:val="00124F82"/>
    <w:rsid w:val="001265FA"/>
    <w:rsid w:val="001278E3"/>
    <w:rsid w:val="00127B12"/>
    <w:rsid w:val="00130743"/>
    <w:rsid w:val="00130B50"/>
    <w:rsid w:val="00131721"/>
    <w:rsid w:val="00131FD9"/>
    <w:rsid w:val="00137BEA"/>
    <w:rsid w:val="001401D7"/>
    <w:rsid w:val="00163258"/>
    <w:rsid w:val="0016337A"/>
    <w:rsid w:val="00164269"/>
    <w:rsid w:val="00164E02"/>
    <w:rsid w:val="00171D75"/>
    <w:rsid w:val="001966FD"/>
    <w:rsid w:val="00197826"/>
    <w:rsid w:val="001A1BDE"/>
    <w:rsid w:val="001A433F"/>
    <w:rsid w:val="001C20B0"/>
    <w:rsid w:val="001C25EC"/>
    <w:rsid w:val="001C7B4E"/>
    <w:rsid w:val="001E5140"/>
    <w:rsid w:val="001E578E"/>
    <w:rsid w:val="001F0876"/>
    <w:rsid w:val="001F167C"/>
    <w:rsid w:val="001F5E91"/>
    <w:rsid w:val="0020183F"/>
    <w:rsid w:val="002077B9"/>
    <w:rsid w:val="00221C70"/>
    <w:rsid w:val="002251AF"/>
    <w:rsid w:val="00227D86"/>
    <w:rsid w:val="002434E1"/>
    <w:rsid w:val="00243B68"/>
    <w:rsid w:val="002629E7"/>
    <w:rsid w:val="00262D72"/>
    <w:rsid w:val="00267973"/>
    <w:rsid w:val="00273230"/>
    <w:rsid w:val="002800B6"/>
    <w:rsid w:val="002B2AD6"/>
    <w:rsid w:val="002B2DB6"/>
    <w:rsid w:val="002B35D4"/>
    <w:rsid w:val="002B5666"/>
    <w:rsid w:val="002C030F"/>
    <w:rsid w:val="002D4732"/>
    <w:rsid w:val="002D62B0"/>
    <w:rsid w:val="002F3966"/>
    <w:rsid w:val="00301A9E"/>
    <w:rsid w:val="003057CC"/>
    <w:rsid w:val="003149CB"/>
    <w:rsid w:val="00320E2C"/>
    <w:rsid w:val="00331D75"/>
    <w:rsid w:val="0034265C"/>
    <w:rsid w:val="00351000"/>
    <w:rsid w:val="00355362"/>
    <w:rsid w:val="00363E44"/>
    <w:rsid w:val="00364E9E"/>
    <w:rsid w:val="003926B0"/>
    <w:rsid w:val="00395E86"/>
    <w:rsid w:val="003A2FD8"/>
    <w:rsid w:val="003A4B87"/>
    <w:rsid w:val="003B3047"/>
    <w:rsid w:val="003B40E6"/>
    <w:rsid w:val="003C007A"/>
    <w:rsid w:val="003E1980"/>
    <w:rsid w:val="003F1F35"/>
    <w:rsid w:val="003F6E14"/>
    <w:rsid w:val="00405336"/>
    <w:rsid w:val="004123E7"/>
    <w:rsid w:val="004176A7"/>
    <w:rsid w:val="0043143A"/>
    <w:rsid w:val="004458F4"/>
    <w:rsid w:val="00447D4E"/>
    <w:rsid w:val="00450594"/>
    <w:rsid w:val="004505D0"/>
    <w:rsid w:val="004568BC"/>
    <w:rsid w:val="00456EB6"/>
    <w:rsid w:val="004571D5"/>
    <w:rsid w:val="004605F7"/>
    <w:rsid w:val="00462F1B"/>
    <w:rsid w:val="0046356B"/>
    <w:rsid w:val="0047217C"/>
    <w:rsid w:val="00477182"/>
    <w:rsid w:val="004779CB"/>
    <w:rsid w:val="00481118"/>
    <w:rsid w:val="00484416"/>
    <w:rsid w:val="004A4741"/>
    <w:rsid w:val="004B2481"/>
    <w:rsid w:val="004B51BF"/>
    <w:rsid w:val="004B7ED2"/>
    <w:rsid w:val="004D2A8C"/>
    <w:rsid w:val="004E42D8"/>
    <w:rsid w:val="004E7BA2"/>
    <w:rsid w:val="004F7EDF"/>
    <w:rsid w:val="005001AC"/>
    <w:rsid w:val="00517016"/>
    <w:rsid w:val="00527D71"/>
    <w:rsid w:val="00527D84"/>
    <w:rsid w:val="005314B5"/>
    <w:rsid w:val="0054432F"/>
    <w:rsid w:val="00544769"/>
    <w:rsid w:val="00552C23"/>
    <w:rsid w:val="005532DB"/>
    <w:rsid w:val="005607DD"/>
    <w:rsid w:val="00562BF1"/>
    <w:rsid w:val="00566491"/>
    <w:rsid w:val="00572DFF"/>
    <w:rsid w:val="00576F92"/>
    <w:rsid w:val="00581251"/>
    <w:rsid w:val="005A558C"/>
    <w:rsid w:val="005B049D"/>
    <w:rsid w:val="005B186E"/>
    <w:rsid w:val="005C6651"/>
    <w:rsid w:val="005C7E20"/>
    <w:rsid w:val="005D6D71"/>
    <w:rsid w:val="005E28F8"/>
    <w:rsid w:val="005E4E68"/>
    <w:rsid w:val="005E6513"/>
    <w:rsid w:val="005F2F70"/>
    <w:rsid w:val="00611F9E"/>
    <w:rsid w:val="006237D4"/>
    <w:rsid w:val="00651114"/>
    <w:rsid w:val="006622CF"/>
    <w:rsid w:val="006641CD"/>
    <w:rsid w:val="00664A12"/>
    <w:rsid w:val="0066722B"/>
    <w:rsid w:val="00667F71"/>
    <w:rsid w:val="00670299"/>
    <w:rsid w:val="0068096F"/>
    <w:rsid w:val="0068469F"/>
    <w:rsid w:val="00691985"/>
    <w:rsid w:val="006962C1"/>
    <w:rsid w:val="006979A6"/>
    <w:rsid w:val="006A1B64"/>
    <w:rsid w:val="006B03AD"/>
    <w:rsid w:val="006B7288"/>
    <w:rsid w:val="006C50CA"/>
    <w:rsid w:val="006D00FE"/>
    <w:rsid w:val="006F602A"/>
    <w:rsid w:val="007108F5"/>
    <w:rsid w:val="00713153"/>
    <w:rsid w:val="00713AF2"/>
    <w:rsid w:val="00713E5B"/>
    <w:rsid w:val="007145A9"/>
    <w:rsid w:val="0073126E"/>
    <w:rsid w:val="007402FC"/>
    <w:rsid w:val="007411A1"/>
    <w:rsid w:val="007563F2"/>
    <w:rsid w:val="00762D71"/>
    <w:rsid w:val="00764008"/>
    <w:rsid w:val="0077562D"/>
    <w:rsid w:val="00795D4D"/>
    <w:rsid w:val="007B4CAA"/>
    <w:rsid w:val="007C207C"/>
    <w:rsid w:val="007C618F"/>
    <w:rsid w:val="007C67E6"/>
    <w:rsid w:val="007D5F08"/>
    <w:rsid w:val="007F711F"/>
    <w:rsid w:val="007F7A97"/>
    <w:rsid w:val="00807D35"/>
    <w:rsid w:val="008115D9"/>
    <w:rsid w:val="0082441C"/>
    <w:rsid w:val="0082594C"/>
    <w:rsid w:val="00825950"/>
    <w:rsid w:val="00843206"/>
    <w:rsid w:val="0085417C"/>
    <w:rsid w:val="00862F60"/>
    <w:rsid w:val="008646ED"/>
    <w:rsid w:val="00885C9B"/>
    <w:rsid w:val="008927D0"/>
    <w:rsid w:val="00892D61"/>
    <w:rsid w:val="0089689F"/>
    <w:rsid w:val="00896FAB"/>
    <w:rsid w:val="008A5A88"/>
    <w:rsid w:val="008B4F14"/>
    <w:rsid w:val="008B6B29"/>
    <w:rsid w:val="008D2006"/>
    <w:rsid w:val="008D5D2A"/>
    <w:rsid w:val="008D6F87"/>
    <w:rsid w:val="008E2CF1"/>
    <w:rsid w:val="008E41B5"/>
    <w:rsid w:val="008E55AD"/>
    <w:rsid w:val="008F08DC"/>
    <w:rsid w:val="008F18FB"/>
    <w:rsid w:val="008F3BC6"/>
    <w:rsid w:val="008F5A8A"/>
    <w:rsid w:val="009055D1"/>
    <w:rsid w:val="00910581"/>
    <w:rsid w:val="00914B63"/>
    <w:rsid w:val="00922705"/>
    <w:rsid w:val="00924546"/>
    <w:rsid w:val="00932FE5"/>
    <w:rsid w:val="009354F3"/>
    <w:rsid w:val="009447DC"/>
    <w:rsid w:val="00951C8D"/>
    <w:rsid w:val="00961BA5"/>
    <w:rsid w:val="00972E1D"/>
    <w:rsid w:val="009743A9"/>
    <w:rsid w:val="00975720"/>
    <w:rsid w:val="009859A7"/>
    <w:rsid w:val="009869A1"/>
    <w:rsid w:val="00996068"/>
    <w:rsid w:val="009A0AFF"/>
    <w:rsid w:val="009A5287"/>
    <w:rsid w:val="009B2AC5"/>
    <w:rsid w:val="009B3B90"/>
    <w:rsid w:val="009B7984"/>
    <w:rsid w:val="009D38EE"/>
    <w:rsid w:val="009F0F15"/>
    <w:rsid w:val="009F4BED"/>
    <w:rsid w:val="009F7D93"/>
    <w:rsid w:val="00A03FCB"/>
    <w:rsid w:val="00A167D4"/>
    <w:rsid w:val="00A276DF"/>
    <w:rsid w:val="00A3084A"/>
    <w:rsid w:val="00A3403B"/>
    <w:rsid w:val="00A34758"/>
    <w:rsid w:val="00A45F9B"/>
    <w:rsid w:val="00A50033"/>
    <w:rsid w:val="00A510F0"/>
    <w:rsid w:val="00A51643"/>
    <w:rsid w:val="00A51A12"/>
    <w:rsid w:val="00A522E7"/>
    <w:rsid w:val="00A627D4"/>
    <w:rsid w:val="00A64BD3"/>
    <w:rsid w:val="00A74DA2"/>
    <w:rsid w:val="00A7718A"/>
    <w:rsid w:val="00A92733"/>
    <w:rsid w:val="00AA0B35"/>
    <w:rsid w:val="00AA76F3"/>
    <w:rsid w:val="00AB4D57"/>
    <w:rsid w:val="00AC442F"/>
    <w:rsid w:val="00AC7604"/>
    <w:rsid w:val="00AC7DA6"/>
    <w:rsid w:val="00AD499C"/>
    <w:rsid w:val="00B013AF"/>
    <w:rsid w:val="00B025A7"/>
    <w:rsid w:val="00B03FBA"/>
    <w:rsid w:val="00B05D0D"/>
    <w:rsid w:val="00B11E9F"/>
    <w:rsid w:val="00B30334"/>
    <w:rsid w:val="00B3147F"/>
    <w:rsid w:val="00B320C1"/>
    <w:rsid w:val="00B36869"/>
    <w:rsid w:val="00B43B31"/>
    <w:rsid w:val="00B47CFA"/>
    <w:rsid w:val="00B529C0"/>
    <w:rsid w:val="00B57F00"/>
    <w:rsid w:val="00B626CB"/>
    <w:rsid w:val="00B70A8F"/>
    <w:rsid w:val="00B7560C"/>
    <w:rsid w:val="00B77E40"/>
    <w:rsid w:val="00B82C22"/>
    <w:rsid w:val="00B93DBA"/>
    <w:rsid w:val="00B9440A"/>
    <w:rsid w:val="00B952C1"/>
    <w:rsid w:val="00B968D7"/>
    <w:rsid w:val="00BA3953"/>
    <w:rsid w:val="00BB2D2A"/>
    <w:rsid w:val="00BC056E"/>
    <w:rsid w:val="00BD58CF"/>
    <w:rsid w:val="00BF1BEB"/>
    <w:rsid w:val="00BF1BF9"/>
    <w:rsid w:val="00C04CC1"/>
    <w:rsid w:val="00C071FC"/>
    <w:rsid w:val="00C22435"/>
    <w:rsid w:val="00C22C02"/>
    <w:rsid w:val="00C27F6F"/>
    <w:rsid w:val="00C30109"/>
    <w:rsid w:val="00C30E83"/>
    <w:rsid w:val="00C5034B"/>
    <w:rsid w:val="00C50C6D"/>
    <w:rsid w:val="00C600D9"/>
    <w:rsid w:val="00C634D7"/>
    <w:rsid w:val="00C73643"/>
    <w:rsid w:val="00C73E09"/>
    <w:rsid w:val="00C824FB"/>
    <w:rsid w:val="00C85219"/>
    <w:rsid w:val="00C92B8E"/>
    <w:rsid w:val="00C9724E"/>
    <w:rsid w:val="00CB5072"/>
    <w:rsid w:val="00CC1384"/>
    <w:rsid w:val="00CC6D36"/>
    <w:rsid w:val="00CD3720"/>
    <w:rsid w:val="00CE6EAA"/>
    <w:rsid w:val="00CE785A"/>
    <w:rsid w:val="00CF1848"/>
    <w:rsid w:val="00CF5C2F"/>
    <w:rsid w:val="00D04BCF"/>
    <w:rsid w:val="00D07F31"/>
    <w:rsid w:val="00D10134"/>
    <w:rsid w:val="00D143D9"/>
    <w:rsid w:val="00D14EE3"/>
    <w:rsid w:val="00D4372A"/>
    <w:rsid w:val="00D60BB0"/>
    <w:rsid w:val="00D65708"/>
    <w:rsid w:val="00D6579D"/>
    <w:rsid w:val="00D8159F"/>
    <w:rsid w:val="00D91BB8"/>
    <w:rsid w:val="00DA1A61"/>
    <w:rsid w:val="00DA461C"/>
    <w:rsid w:val="00DA5FFA"/>
    <w:rsid w:val="00DC56C9"/>
    <w:rsid w:val="00DD1D04"/>
    <w:rsid w:val="00DD79D7"/>
    <w:rsid w:val="00E20431"/>
    <w:rsid w:val="00E20557"/>
    <w:rsid w:val="00E220CF"/>
    <w:rsid w:val="00E257C8"/>
    <w:rsid w:val="00E40896"/>
    <w:rsid w:val="00E43D2D"/>
    <w:rsid w:val="00E449CB"/>
    <w:rsid w:val="00E452A7"/>
    <w:rsid w:val="00E46984"/>
    <w:rsid w:val="00E51CD6"/>
    <w:rsid w:val="00E52A8F"/>
    <w:rsid w:val="00E60F65"/>
    <w:rsid w:val="00E63760"/>
    <w:rsid w:val="00E64049"/>
    <w:rsid w:val="00E849C7"/>
    <w:rsid w:val="00E9773B"/>
    <w:rsid w:val="00E97D34"/>
    <w:rsid w:val="00EC13A3"/>
    <w:rsid w:val="00EC7C85"/>
    <w:rsid w:val="00ED69CA"/>
    <w:rsid w:val="00ED737A"/>
    <w:rsid w:val="00EE35AB"/>
    <w:rsid w:val="00EF0593"/>
    <w:rsid w:val="00EF25A3"/>
    <w:rsid w:val="00F10C44"/>
    <w:rsid w:val="00F125EE"/>
    <w:rsid w:val="00F12E98"/>
    <w:rsid w:val="00F14935"/>
    <w:rsid w:val="00F1637F"/>
    <w:rsid w:val="00F16FC5"/>
    <w:rsid w:val="00F22029"/>
    <w:rsid w:val="00F23E46"/>
    <w:rsid w:val="00F3515C"/>
    <w:rsid w:val="00F47BA3"/>
    <w:rsid w:val="00F56E67"/>
    <w:rsid w:val="00F628AE"/>
    <w:rsid w:val="00F630EA"/>
    <w:rsid w:val="00F6474F"/>
    <w:rsid w:val="00F64ABE"/>
    <w:rsid w:val="00F7007E"/>
    <w:rsid w:val="00F73193"/>
    <w:rsid w:val="00F735E8"/>
    <w:rsid w:val="00F74F95"/>
    <w:rsid w:val="00F77EA0"/>
    <w:rsid w:val="00F80705"/>
    <w:rsid w:val="00F83F3A"/>
    <w:rsid w:val="00F918D5"/>
    <w:rsid w:val="00FA1481"/>
    <w:rsid w:val="00FB1C42"/>
    <w:rsid w:val="00FB32EC"/>
    <w:rsid w:val="00FC640C"/>
    <w:rsid w:val="00FF04E3"/>
    <w:rsid w:val="00FF35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387E5A1"/>
  <w14:defaultImageDpi w14:val="330"/>
  <w15:chartTrackingRefBased/>
  <w15:docId w15:val="{AA1BE967-6553-4217-ACF4-A7F4B5021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footnote reference" w:semiHidden="1"/>
    <w:lsdException w:name="annotation reference" w:semiHidden="1"/>
    <w:lsdException w:name="line number" w:semiHidden="1"/>
    <w:lsdException w:name="endnote reference" w:semiHidden="1"/>
    <w:lsdException w:name="Title" w:qFormat="1"/>
    <w:lsdException w:name="Subtitle" w:qFormat="1"/>
    <w:lsdException w:name="FollowedHyperlink" w:semiHidden="1"/>
    <w:lsdException w:name="Strong" w:semiHidden="1" w:uiPriority="22" w:qFormat="1"/>
    <w:lsdException w:name="Emphasis" w:semiHidden="1" w:qFormat="1"/>
    <w:lsdException w:name="Normal (Web)" w:uiPriority="99"/>
    <w:lsdException w:name="HTML Acronym" w:semiHidden="1"/>
    <w:lsdException w:name="HTML Cite" w:semiHidden="1"/>
    <w:lsdException w:name="HTML Code" w:semiHidden="1"/>
    <w:lsdException w:name="HTML Definition" w:semiHidden="1"/>
    <w:lsdException w:name="HTML Keyboard" w:semiHidden="1"/>
    <w:lsdException w:name="HTML Sample" w:semiHidden="1"/>
    <w:lsdException w:name="HTML Typewriter" w:semiHidden="1"/>
    <w:lsdException w:name="HTML Variable" w:semiHidden="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30EA"/>
    <w:rPr>
      <w:sz w:val="24"/>
    </w:rPr>
  </w:style>
  <w:style w:type="paragraph" w:styleId="Heading1">
    <w:name w:val="heading 1"/>
    <w:basedOn w:val="Normal"/>
    <w:next w:val="Normal"/>
    <w:link w:val="Heading1Char"/>
    <w:semiHidden/>
    <w:qFormat/>
    <w:rsid w:val="00B43B31"/>
    <w:pPr>
      <w:keepNext/>
      <w:spacing w:before="240" w:after="60"/>
      <w:outlineLvl w:val="0"/>
    </w:pPr>
    <w:rPr>
      <w:b/>
      <w:bCs/>
      <w:kern w:val="32"/>
      <w:szCs w:val="24"/>
    </w:rPr>
  </w:style>
  <w:style w:type="paragraph" w:styleId="Heading2">
    <w:name w:val="heading 2"/>
    <w:basedOn w:val="Normal"/>
    <w:next w:val="Normal"/>
    <w:link w:val="Heading2Char"/>
    <w:semiHidden/>
    <w:qFormat/>
    <w:rsid w:val="007411A1"/>
    <w:pPr>
      <w:keepNext/>
      <w:spacing w:before="240" w:after="60"/>
      <w:outlineLvl w:val="1"/>
    </w:pPr>
    <w:rPr>
      <w:rFonts w:ascii="Cambria" w:hAnsi="Cambria"/>
      <w:b/>
      <w:bCs/>
      <w:i/>
      <w:iCs/>
      <w:sz w:val="28"/>
      <w:szCs w:val="28"/>
    </w:rPr>
  </w:style>
  <w:style w:type="paragraph" w:styleId="Heading3">
    <w:name w:val="heading 3"/>
    <w:basedOn w:val="Normal"/>
    <w:next w:val="Normal"/>
    <w:semiHidden/>
    <w:qFormat/>
    <w:rsid w:val="00C600D9"/>
    <w:pPr>
      <w:keepNext/>
      <w:spacing w:line="480" w:lineRule="auto"/>
      <w:outlineLvl w:val="2"/>
    </w:pPr>
    <w:rPr>
      <w:rFonts w:ascii="Times" w:eastAsia="Times" w:hAnsi="Times"/>
      <w:b/>
    </w:rPr>
  </w:style>
  <w:style w:type="paragraph" w:styleId="Heading4">
    <w:name w:val="heading 4"/>
    <w:basedOn w:val="Normal"/>
    <w:next w:val="Normal"/>
    <w:semiHidden/>
    <w:qFormat/>
    <w:rsid w:val="00C600D9"/>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7411A1"/>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7411A1"/>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7411A1"/>
    <w:pPr>
      <w:spacing w:before="240" w:after="60"/>
      <w:outlineLvl w:val="6"/>
    </w:pPr>
    <w:rPr>
      <w:rFonts w:ascii="Calibri" w:hAnsi="Calibri"/>
      <w:szCs w:val="24"/>
    </w:rPr>
  </w:style>
  <w:style w:type="paragraph" w:styleId="Heading8">
    <w:name w:val="heading 8"/>
    <w:basedOn w:val="Normal"/>
    <w:next w:val="Normal"/>
    <w:link w:val="Heading8Char"/>
    <w:semiHidden/>
    <w:qFormat/>
    <w:rsid w:val="007411A1"/>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7411A1"/>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477182"/>
  </w:style>
  <w:style w:type="character" w:customStyle="1" w:styleId="Heading1Char">
    <w:name w:val="Heading 1 Char"/>
    <w:link w:val="Heading1"/>
    <w:semiHidden/>
    <w:rsid w:val="00FF04E3"/>
    <w:rPr>
      <w:b/>
      <w:bCs/>
      <w:kern w:val="32"/>
      <w:sz w:val="24"/>
      <w:szCs w:val="24"/>
    </w:rPr>
  </w:style>
  <w:style w:type="character" w:customStyle="1" w:styleId="Heading2Char">
    <w:name w:val="Heading 2 Char"/>
    <w:link w:val="Heading2"/>
    <w:semiHidden/>
    <w:rsid w:val="00FF04E3"/>
    <w:rPr>
      <w:rFonts w:ascii="Cambria" w:hAnsi="Cambria"/>
      <w:b/>
      <w:bCs/>
      <w:i/>
      <w:iCs/>
      <w:sz w:val="28"/>
      <w:szCs w:val="28"/>
    </w:rPr>
  </w:style>
  <w:style w:type="character" w:customStyle="1" w:styleId="Heading5Char">
    <w:name w:val="Heading 5 Char"/>
    <w:link w:val="Heading5"/>
    <w:semiHidden/>
    <w:rsid w:val="00FF04E3"/>
    <w:rPr>
      <w:rFonts w:ascii="Calibri" w:hAnsi="Calibri"/>
      <w:b/>
      <w:bCs/>
      <w:i/>
      <w:iCs/>
      <w:sz w:val="26"/>
      <w:szCs w:val="26"/>
    </w:rPr>
  </w:style>
  <w:style w:type="character" w:customStyle="1" w:styleId="Heading6Char">
    <w:name w:val="Heading 6 Char"/>
    <w:link w:val="Heading6"/>
    <w:semiHidden/>
    <w:rsid w:val="00FF04E3"/>
    <w:rPr>
      <w:rFonts w:ascii="Calibri" w:hAnsi="Calibri"/>
      <w:b/>
      <w:bCs/>
      <w:sz w:val="22"/>
      <w:szCs w:val="22"/>
    </w:rPr>
  </w:style>
  <w:style w:type="character" w:customStyle="1" w:styleId="Heading7Char">
    <w:name w:val="Heading 7 Char"/>
    <w:link w:val="Heading7"/>
    <w:semiHidden/>
    <w:rsid w:val="00FF04E3"/>
    <w:rPr>
      <w:rFonts w:ascii="Calibri" w:hAnsi="Calibri"/>
      <w:sz w:val="24"/>
      <w:szCs w:val="24"/>
    </w:rPr>
  </w:style>
  <w:style w:type="character" w:customStyle="1" w:styleId="Heading8Char">
    <w:name w:val="Heading 8 Char"/>
    <w:link w:val="Heading8"/>
    <w:semiHidden/>
    <w:rsid w:val="00FF04E3"/>
    <w:rPr>
      <w:rFonts w:ascii="Calibri" w:hAnsi="Calibri"/>
      <w:i/>
      <w:iCs/>
      <w:sz w:val="24"/>
      <w:szCs w:val="24"/>
    </w:rPr>
  </w:style>
  <w:style w:type="character" w:customStyle="1" w:styleId="Heading9Char">
    <w:name w:val="Heading 9 Char"/>
    <w:link w:val="Heading9"/>
    <w:semiHidden/>
    <w:rsid w:val="00FF04E3"/>
    <w:rPr>
      <w:rFonts w:ascii="Cambria" w:hAnsi="Cambria"/>
      <w:sz w:val="22"/>
      <w:szCs w:val="22"/>
    </w:rPr>
  </w:style>
  <w:style w:type="paragraph" w:customStyle="1" w:styleId="SMHeading">
    <w:name w:val="SM Heading"/>
    <w:basedOn w:val="Heading1"/>
    <w:qFormat/>
    <w:rsid w:val="00A51643"/>
    <w:pPr>
      <w:jc w:val="both"/>
    </w:pPr>
    <w:rPr>
      <w:rFonts w:ascii="Myriad Pro" w:hAnsi="Myriad Pro"/>
      <w:b w:val="0"/>
      <w:sz w:val="22"/>
      <w:szCs w:val="22"/>
    </w:rPr>
  </w:style>
  <w:style w:type="paragraph" w:customStyle="1" w:styleId="SMSubheading">
    <w:name w:val="SM Subheading"/>
    <w:basedOn w:val="Normal"/>
    <w:qFormat/>
    <w:rsid w:val="00B9440A"/>
    <w:rPr>
      <w:u w:val="words"/>
    </w:rPr>
  </w:style>
  <w:style w:type="paragraph" w:customStyle="1" w:styleId="SMText">
    <w:name w:val="SM Text"/>
    <w:basedOn w:val="Normal"/>
    <w:link w:val="SMTextChar"/>
    <w:qFormat/>
    <w:rsid w:val="00B9440A"/>
    <w:pPr>
      <w:ind w:firstLine="480"/>
    </w:pPr>
  </w:style>
  <w:style w:type="paragraph" w:customStyle="1" w:styleId="SMcaption">
    <w:name w:val="SM caption"/>
    <w:basedOn w:val="SMText"/>
    <w:link w:val="SMcaptionChar"/>
    <w:qFormat/>
    <w:rsid w:val="00B9440A"/>
    <w:pPr>
      <w:ind w:firstLine="0"/>
    </w:pPr>
  </w:style>
  <w:style w:type="paragraph" w:styleId="BalloonText">
    <w:name w:val="Balloon Text"/>
    <w:basedOn w:val="Normal"/>
    <w:link w:val="BalloonTextChar"/>
    <w:semiHidden/>
    <w:rsid w:val="00405336"/>
    <w:rPr>
      <w:rFonts w:ascii="Tahoma" w:hAnsi="Tahoma" w:cs="Tahoma"/>
      <w:sz w:val="16"/>
      <w:szCs w:val="16"/>
    </w:rPr>
  </w:style>
  <w:style w:type="character" w:customStyle="1" w:styleId="BalloonTextChar">
    <w:name w:val="Balloon Text Char"/>
    <w:link w:val="BalloonText"/>
    <w:semiHidden/>
    <w:rsid w:val="00FF04E3"/>
    <w:rPr>
      <w:rFonts w:ascii="Tahoma" w:hAnsi="Tahoma" w:cs="Tahoma"/>
      <w:sz w:val="16"/>
      <w:szCs w:val="16"/>
    </w:rPr>
  </w:style>
  <w:style w:type="paragraph" w:styleId="Bibliography">
    <w:name w:val="Bibliography"/>
    <w:basedOn w:val="Normal"/>
    <w:next w:val="Normal"/>
    <w:uiPriority w:val="37"/>
    <w:semiHidden/>
    <w:rsid w:val="00405336"/>
  </w:style>
  <w:style w:type="paragraph" w:styleId="BlockText">
    <w:name w:val="Block Text"/>
    <w:basedOn w:val="Normal"/>
    <w:semiHidden/>
    <w:rsid w:val="00405336"/>
    <w:pPr>
      <w:spacing w:after="120"/>
      <w:ind w:left="1440" w:right="1440"/>
    </w:pPr>
  </w:style>
  <w:style w:type="paragraph" w:styleId="BodyText">
    <w:name w:val="Body Text"/>
    <w:basedOn w:val="Normal"/>
    <w:link w:val="BodyTextChar"/>
    <w:semiHidden/>
    <w:rsid w:val="00405336"/>
    <w:pPr>
      <w:spacing w:after="120"/>
    </w:pPr>
  </w:style>
  <w:style w:type="character" w:customStyle="1" w:styleId="BodyTextChar">
    <w:name w:val="Body Text Char"/>
    <w:link w:val="BodyText"/>
    <w:semiHidden/>
    <w:rsid w:val="00FF04E3"/>
    <w:rPr>
      <w:sz w:val="24"/>
    </w:rPr>
  </w:style>
  <w:style w:type="paragraph" w:styleId="BodyText2">
    <w:name w:val="Body Text 2"/>
    <w:basedOn w:val="Normal"/>
    <w:link w:val="BodyText2Char"/>
    <w:semiHidden/>
    <w:rsid w:val="00405336"/>
    <w:pPr>
      <w:spacing w:after="120" w:line="480" w:lineRule="auto"/>
    </w:pPr>
  </w:style>
  <w:style w:type="character" w:customStyle="1" w:styleId="BodyText2Char">
    <w:name w:val="Body Text 2 Char"/>
    <w:link w:val="BodyText2"/>
    <w:semiHidden/>
    <w:rsid w:val="00FF04E3"/>
    <w:rPr>
      <w:sz w:val="24"/>
    </w:rPr>
  </w:style>
  <w:style w:type="paragraph" w:styleId="BodyText3">
    <w:name w:val="Body Text 3"/>
    <w:basedOn w:val="Normal"/>
    <w:link w:val="BodyText3Char"/>
    <w:semiHidden/>
    <w:rsid w:val="00405336"/>
    <w:pPr>
      <w:spacing w:after="120"/>
    </w:pPr>
    <w:rPr>
      <w:sz w:val="16"/>
      <w:szCs w:val="16"/>
    </w:rPr>
  </w:style>
  <w:style w:type="character" w:customStyle="1" w:styleId="BodyText3Char">
    <w:name w:val="Body Text 3 Char"/>
    <w:link w:val="BodyText3"/>
    <w:semiHidden/>
    <w:rsid w:val="00FF04E3"/>
    <w:rPr>
      <w:sz w:val="16"/>
      <w:szCs w:val="16"/>
    </w:rPr>
  </w:style>
  <w:style w:type="paragraph" w:styleId="BodyTextFirstIndent">
    <w:name w:val="Body Text First Indent"/>
    <w:basedOn w:val="BodyText"/>
    <w:link w:val="BodyTextFirstIndentChar"/>
    <w:semiHidden/>
    <w:rsid w:val="00405336"/>
    <w:pPr>
      <w:ind w:firstLine="210"/>
    </w:pPr>
  </w:style>
  <w:style w:type="character" w:customStyle="1" w:styleId="BodyTextFirstIndentChar">
    <w:name w:val="Body Text First Indent Char"/>
    <w:basedOn w:val="BodyTextChar"/>
    <w:link w:val="BodyTextFirstIndent"/>
    <w:semiHidden/>
    <w:rsid w:val="00FF04E3"/>
    <w:rPr>
      <w:sz w:val="24"/>
    </w:rPr>
  </w:style>
  <w:style w:type="paragraph" w:styleId="BodyTextIndent">
    <w:name w:val="Body Text Indent"/>
    <w:basedOn w:val="Normal"/>
    <w:link w:val="BodyTextIndentChar"/>
    <w:semiHidden/>
    <w:rsid w:val="00405336"/>
    <w:pPr>
      <w:spacing w:after="120"/>
      <w:ind w:left="360"/>
    </w:pPr>
  </w:style>
  <w:style w:type="character" w:customStyle="1" w:styleId="BodyTextIndentChar">
    <w:name w:val="Body Text Indent Char"/>
    <w:link w:val="BodyTextIndent"/>
    <w:semiHidden/>
    <w:rsid w:val="00FF04E3"/>
    <w:rPr>
      <w:sz w:val="24"/>
    </w:rPr>
  </w:style>
  <w:style w:type="paragraph" w:styleId="BodyTextFirstIndent2">
    <w:name w:val="Body Text First Indent 2"/>
    <w:basedOn w:val="BodyTextIndent"/>
    <w:link w:val="BodyTextFirstIndent2Char"/>
    <w:semiHidden/>
    <w:rsid w:val="00405336"/>
    <w:pPr>
      <w:ind w:firstLine="210"/>
    </w:pPr>
  </w:style>
  <w:style w:type="character" w:customStyle="1" w:styleId="BodyTextFirstIndent2Char">
    <w:name w:val="Body Text First Indent 2 Char"/>
    <w:basedOn w:val="BodyTextIndentChar"/>
    <w:link w:val="BodyTextFirstIndent2"/>
    <w:semiHidden/>
    <w:rsid w:val="00FF04E3"/>
    <w:rPr>
      <w:sz w:val="24"/>
    </w:rPr>
  </w:style>
  <w:style w:type="paragraph" w:styleId="BodyTextIndent2">
    <w:name w:val="Body Text Indent 2"/>
    <w:basedOn w:val="Normal"/>
    <w:link w:val="BodyTextIndent2Char"/>
    <w:semiHidden/>
    <w:rsid w:val="00405336"/>
    <w:pPr>
      <w:spacing w:after="120" w:line="480" w:lineRule="auto"/>
      <w:ind w:left="360"/>
    </w:pPr>
  </w:style>
  <w:style w:type="character" w:customStyle="1" w:styleId="BodyTextIndent2Char">
    <w:name w:val="Body Text Indent 2 Char"/>
    <w:link w:val="BodyTextIndent2"/>
    <w:semiHidden/>
    <w:rsid w:val="00FF04E3"/>
    <w:rPr>
      <w:sz w:val="24"/>
    </w:rPr>
  </w:style>
  <w:style w:type="paragraph" w:styleId="BodyTextIndent3">
    <w:name w:val="Body Text Indent 3"/>
    <w:basedOn w:val="Normal"/>
    <w:link w:val="BodyTextIndent3Char"/>
    <w:semiHidden/>
    <w:rsid w:val="00405336"/>
    <w:pPr>
      <w:spacing w:after="120"/>
      <w:ind w:left="360"/>
    </w:pPr>
    <w:rPr>
      <w:sz w:val="16"/>
      <w:szCs w:val="16"/>
    </w:rPr>
  </w:style>
  <w:style w:type="character" w:customStyle="1" w:styleId="BodyTextIndent3Char">
    <w:name w:val="Body Text Indent 3 Char"/>
    <w:link w:val="BodyTextIndent3"/>
    <w:semiHidden/>
    <w:rsid w:val="00FF04E3"/>
    <w:rPr>
      <w:sz w:val="16"/>
      <w:szCs w:val="16"/>
    </w:rPr>
  </w:style>
  <w:style w:type="paragraph" w:styleId="Caption">
    <w:name w:val="caption"/>
    <w:basedOn w:val="Normal"/>
    <w:next w:val="Normal"/>
    <w:semiHidden/>
    <w:qFormat/>
    <w:rsid w:val="00405336"/>
    <w:rPr>
      <w:b/>
      <w:bCs/>
      <w:sz w:val="20"/>
    </w:rPr>
  </w:style>
  <w:style w:type="paragraph" w:styleId="Closing">
    <w:name w:val="Closing"/>
    <w:basedOn w:val="Normal"/>
    <w:link w:val="ClosingChar"/>
    <w:semiHidden/>
    <w:rsid w:val="00405336"/>
    <w:pPr>
      <w:ind w:left="4320"/>
    </w:pPr>
  </w:style>
  <w:style w:type="character" w:customStyle="1" w:styleId="ClosingChar">
    <w:name w:val="Closing Char"/>
    <w:link w:val="Closing"/>
    <w:semiHidden/>
    <w:rsid w:val="00FF04E3"/>
    <w:rPr>
      <w:sz w:val="24"/>
    </w:rPr>
  </w:style>
  <w:style w:type="paragraph" w:styleId="CommentText">
    <w:name w:val="annotation text"/>
    <w:basedOn w:val="Normal"/>
    <w:link w:val="CommentTextChar"/>
    <w:semiHidden/>
    <w:rsid w:val="00405336"/>
    <w:rPr>
      <w:sz w:val="20"/>
    </w:rPr>
  </w:style>
  <w:style w:type="character" w:customStyle="1" w:styleId="CommentTextChar">
    <w:name w:val="Comment Text Char"/>
    <w:basedOn w:val="DefaultParagraphFont"/>
    <w:link w:val="CommentText"/>
    <w:semiHidden/>
    <w:rsid w:val="00FF04E3"/>
  </w:style>
  <w:style w:type="paragraph" w:styleId="CommentSubject">
    <w:name w:val="annotation subject"/>
    <w:basedOn w:val="CommentText"/>
    <w:next w:val="CommentText"/>
    <w:link w:val="CommentSubjectChar"/>
    <w:semiHidden/>
    <w:rsid w:val="00405336"/>
    <w:rPr>
      <w:b/>
      <w:bCs/>
    </w:rPr>
  </w:style>
  <w:style w:type="character" w:customStyle="1" w:styleId="CommentSubjectChar">
    <w:name w:val="Comment Subject Char"/>
    <w:link w:val="CommentSubject"/>
    <w:semiHidden/>
    <w:rsid w:val="00FF04E3"/>
    <w:rPr>
      <w:b/>
      <w:bCs/>
    </w:rPr>
  </w:style>
  <w:style w:type="paragraph" w:styleId="Date">
    <w:name w:val="Date"/>
    <w:basedOn w:val="Normal"/>
    <w:next w:val="Normal"/>
    <w:link w:val="DateChar"/>
    <w:semiHidden/>
    <w:rsid w:val="00405336"/>
  </w:style>
  <w:style w:type="character" w:customStyle="1" w:styleId="DateChar">
    <w:name w:val="Date Char"/>
    <w:link w:val="Date"/>
    <w:semiHidden/>
    <w:rsid w:val="00FF04E3"/>
    <w:rPr>
      <w:sz w:val="24"/>
    </w:rPr>
  </w:style>
  <w:style w:type="paragraph" w:styleId="DocumentMap">
    <w:name w:val="Document Map"/>
    <w:basedOn w:val="Normal"/>
    <w:link w:val="DocumentMapChar"/>
    <w:semiHidden/>
    <w:rsid w:val="00405336"/>
    <w:rPr>
      <w:rFonts w:ascii="Tahoma" w:hAnsi="Tahoma" w:cs="Tahoma"/>
      <w:sz w:val="16"/>
      <w:szCs w:val="16"/>
    </w:rPr>
  </w:style>
  <w:style w:type="character" w:customStyle="1" w:styleId="DocumentMapChar">
    <w:name w:val="Document Map Char"/>
    <w:link w:val="DocumentMap"/>
    <w:semiHidden/>
    <w:rsid w:val="00FF04E3"/>
    <w:rPr>
      <w:rFonts w:ascii="Tahoma" w:hAnsi="Tahoma" w:cs="Tahoma"/>
      <w:sz w:val="16"/>
      <w:szCs w:val="16"/>
    </w:rPr>
  </w:style>
  <w:style w:type="paragraph" w:styleId="E-mailSignature">
    <w:name w:val="E-mail Signature"/>
    <w:basedOn w:val="Normal"/>
    <w:link w:val="E-mailSignatureChar"/>
    <w:semiHidden/>
    <w:rsid w:val="00405336"/>
  </w:style>
  <w:style w:type="character" w:customStyle="1" w:styleId="E-mailSignatureChar">
    <w:name w:val="E-mail Signature Char"/>
    <w:link w:val="E-mailSignature"/>
    <w:semiHidden/>
    <w:rsid w:val="00FF04E3"/>
    <w:rPr>
      <w:sz w:val="24"/>
    </w:rPr>
  </w:style>
  <w:style w:type="paragraph" w:styleId="EndnoteText">
    <w:name w:val="endnote text"/>
    <w:basedOn w:val="Normal"/>
    <w:link w:val="EndnoteTextChar"/>
    <w:semiHidden/>
    <w:rsid w:val="00405336"/>
    <w:rPr>
      <w:sz w:val="20"/>
    </w:rPr>
  </w:style>
  <w:style w:type="character" w:customStyle="1" w:styleId="EndnoteTextChar">
    <w:name w:val="Endnote Text Char"/>
    <w:basedOn w:val="DefaultParagraphFont"/>
    <w:link w:val="EndnoteText"/>
    <w:semiHidden/>
    <w:rsid w:val="00FF04E3"/>
  </w:style>
  <w:style w:type="paragraph" w:styleId="EnvelopeAddress">
    <w:name w:val="envelope address"/>
    <w:basedOn w:val="Normal"/>
    <w:semiHidden/>
    <w:rsid w:val="00405336"/>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05336"/>
    <w:rPr>
      <w:rFonts w:ascii="Cambria" w:hAnsi="Cambria"/>
      <w:sz w:val="20"/>
    </w:rPr>
  </w:style>
  <w:style w:type="paragraph" w:styleId="Footer">
    <w:name w:val="footer"/>
    <w:basedOn w:val="Normal"/>
    <w:link w:val="FooterChar"/>
    <w:semiHidden/>
    <w:rsid w:val="00405336"/>
    <w:pPr>
      <w:tabs>
        <w:tab w:val="center" w:pos="4680"/>
        <w:tab w:val="right" w:pos="9360"/>
      </w:tabs>
    </w:pPr>
  </w:style>
  <w:style w:type="character" w:customStyle="1" w:styleId="FooterChar">
    <w:name w:val="Footer Char"/>
    <w:link w:val="Footer"/>
    <w:semiHidden/>
    <w:rsid w:val="00FF04E3"/>
    <w:rPr>
      <w:sz w:val="24"/>
    </w:rPr>
  </w:style>
  <w:style w:type="paragraph" w:styleId="FootnoteText">
    <w:name w:val="footnote text"/>
    <w:basedOn w:val="Normal"/>
    <w:link w:val="FootnoteTextChar"/>
    <w:semiHidden/>
    <w:rsid w:val="00405336"/>
    <w:rPr>
      <w:sz w:val="20"/>
    </w:rPr>
  </w:style>
  <w:style w:type="character" w:customStyle="1" w:styleId="FootnoteTextChar">
    <w:name w:val="Footnote Text Char"/>
    <w:basedOn w:val="DefaultParagraphFont"/>
    <w:link w:val="FootnoteText"/>
    <w:semiHidden/>
    <w:rsid w:val="00FF04E3"/>
  </w:style>
  <w:style w:type="paragraph" w:styleId="Header">
    <w:name w:val="header"/>
    <w:basedOn w:val="Normal"/>
    <w:link w:val="HeaderChar"/>
    <w:semiHidden/>
    <w:rsid w:val="00405336"/>
    <w:pPr>
      <w:tabs>
        <w:tab w:val="center" w:pos="4680"/>
        <w:tab w:val="right" w:pos="9360"/>
      </w:tabs>
    </w:pPr>
  </w:style>
  <w:style w:type="character" w:customStyle="1" w:styleId="HeaderChar">
    <w:name w:val="Header Char"/>
    <w:link w:val="Header"/>
    <w:semiHidden/>
    <w:rsid w:val="00FF04E3"/>
    <w:rPr>
      <w:sz w:val="24"/>
    </w:rPr>
  </w:style>
  <w:style w:type="paragraph" w:styleId="HTMLAddress">
    <w:name w:val="HTML Address"/>
    <w:basedOn w:val="Normal"/>
    <w:link w:val="HTMLAddressChar"/>
    <w:semiHidden/>
    <w:rsid w:val="00405336"/>
    <w:rPr>
      <w:i/>
      <w:iCs/>
    </w:rPr>
  </w:style>
  <w:style w:type="character" w:customStyle="1" w:styleId="HTMLAddressChar">
    <w:name w:val="HTML Address Char"/>
    <w:link w:val="HTMLAddress"/>
    <w:semiHidden/>
    <w:rsid w:val="00FF04E3"/>
    <w:rPr>
      <w:i/>
      <w:iCs/>
      <w:sz w:val="24"/>
    </w:rPr>
  </w:style>
  <w:style w:type="paragraph" w:styleId="HTMLPreformatted">
    <w:name w:val="HTML Preformatted"/>
    <w:basedOn w:val="Normal"/>
    <w:link w:val="HTMLPreformattedChar"/>
    <w:semiHidden/>
    <w:rsid w:val="00405336"/>
    <w:rPr>
      <w:rFonts w:ascii="Courier New" w:hAnsi="Courier New" w:cs="Courier New"/>
      <w:sz w:val="20"/>
    </w:rPr>
  </w:style>
  <w:style w:type="character" w:customStyle="1" w:styleId="HTMLPreformattedChar">
    <w:name w:val="HTML Preformatted Char"/>
    <w:link w:val="HTMLPreformatted"/>
    <w:semiHidden/>
    <w:rsid w:val="00FF04E3"/>
    <w:rPr>
      <w:rFonts w:ascii="Courier New" w:hAnsi="Courier New" w:cs="Courier New"/>
    </w:rPr>
  </w:style>
  <w:style w:type="paragraph" w:styleId="Index1">
    <w:name w:val="index 1"/>
    <w:basedOn w:val="Normal"/>
    <w:next w:val="Normal"/>
    <w:autoRedefine/>
    <w:semiHidden/>
    <w:rsid w:val="00405336"/>
    <w:pPr>
      <w:ind w:left="240" w:hanging="240"/>
    </w:pPr>
  </w:style>
  <w:style w:type="paragraph" w:styleId="Index2">
    <w:name w:val="index 2"/>
    <w:basedOn w:val="Normal"/>
    <w:next w:val="Normal"/>
    <w:autoRedefine/>
    <w:semiHidden/>
    <w:rsid w:val="00405336"/>
    <w:pPr>
      <w:ind w:left="480" w:hanging="240"/>
    </w:pPr>
  </w:style>
  <w:style w:type="paragraph" w:styleId="Index3">
    <w:name w:val="index 3"/>
    <w:basedOn w:val="Normal"/>
    <w:next w:val="Normal"/>
    <w:autoRedefine/>
    <w:semiHidden/>
    <w:rsid w:val="00405336"/>
    <w:pPr>
      <w:ind w:left="720" w:hanging="240"/>
    </w:pPr>
  </w:style>
  <w:style w:type="paragraph" w:styleId="Index4">
    <w:name w:val="index 4"/>
    <w:basedOn w:val="Normal"/>
    <w:next w:val="Normal"/>
    <w:autoRedefine/>
    <w:semiHidden/>
    <w:rsid w:val="00405336"/>
    <w:pPr>
      <w:ind w:left="960" w:hanging="240"/>
    </w:pPr>
  </w:style>
  <w:style w:type="paragraph" w:styleId="Index5">
    <w:name w:val="index 5"/>
    <w:basedOn w:val="Normal"/>
    <w:next w:val="Normal"/>
    <w:autoRedefine/>
    <w:semiHidden/>
    <w:rsid w:val="00405336"/>
    <w:pPr>
      <w:ind w:left="1200" w:hanging="240"/>
    </w:pPr>
  </w:style>
  <w:style w:type="paragraph" w:styleId="Index6">
    <w:name w:val="index 6"/>
    <w:basedOn w:val="Normal"/>
    <w:next w:val="Normal"/>
    <w:autoRedefine/>
    <w:semiHidden/>
    <w:rsid w:val="00405336"/>
    <w:pPr>
      <w:ind w:left="1440" w:hanging="240"/>
    </w:pPr>
  </w:style>
  <w:style w:type="paragraph" w:styleId="Index7">
    <w:name w:val="index 7"/>
    <w:basedOn w:val="Normal"/>
    <w:next w:val="Normal"/>
    <w:autoRedefine/>
    <w:semiHidden/>
    <w:rsid w:val="00405336"/>
    <w:pPr>
      <w:ind w:left="1680" w:hanging="240"/>
    </w:pPr>
  </w:style>
  <w:style w:type="paragraph" w:styleId="Index8">
    <w:name w:val="index 8"/>
    <w:basedOn w:val="Normal"/>
    <w:next w:val="Normal"/>
    <w:autoRedefine/>
    <w:semiHidden/>
    <w:rsid w:val="00405336"/>
    <w:pPr>
      <w:ind w:left="1920" w:hanging="240"/>
    </w:pPr>
  </w:style>
  <w:style w:type="paragraph" w:styleId="Index9">
    <w:name w:val="index 9"/>
    <w:basedOn w:val="Normal"/>
    <w:next w:val="Normal"/>
    <w:autoRedefine/>
    <w:semiHidden/>
    <w:rsid w:val="00405336"/>
    <w:pPr>
      <w:ind w:left="2160" w:hanging="240"/>
    </w:pPr>
  </w:style>
  <w:style w:type="paragraph" w:styleId="IndexHeading">
    <w:name w:val="index heading"/>
    <w:basedOn w:val="Normal"/>
    <w:next w:val="Index1"/>
    <w:semiHidden/>
    <w:rsid w:val="00405336"/>
    <w:rPr>
      <w:rFonts w:ascii="Cambria" w:hAnsi="Cambria"/>
      <w:b/>
      <w:bCs/>
    </w:rPr>
  </w:style>
  <w:style w:type="paragraph" w:styleId="IntenseQuote">
    <w:name w:val="Intense Quote"/>
    <w:basedOn w:val="Normal"/>
    <w:next w:val="Normal"/>
    <w:link w:val="IntenseQuoteChar"/>
    <w:uiPriority w:val="30"/>
    <w:semiHidden/>
    <w:qFormat/>
    <w:rsid w:val="00405336"/>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semiHidden/>
    <w:rsid w:val="00FF04E3"/>
    <w:rPr>
      <w:b/>
      <w:bCs/>
      <w:i/>
      <w:iCs/>
      <w:color w:val="4F81BD"/>
      <w:sz w:val="24"/>
    </w:rPr>
  </w:style>
  <w:style w:type="paragraph" w:styleId="List">
    <w:name w:val="List"/>
    <w:basedOn w:val="Normal"/>
    <w:semiHidden/>
    <w:rsid w:val="00405336"/>
    <w:pPr>
      <w:ind w:left="360" w:hanging="360"/>
      <w:contextualSpacing/>
    </w:pPr>
  </w:style>
  <w:style w:type="paragraph" w:styleId="List2">
    <w:name w:val="List 2"/>
    <w:basedOn w:val="Normal"/>
    <w:semiHidden/>
    <w:rsid w:val="00405336"/>
    <w:pPr>
      <w:ind w:left="720" w:hanging="360"/>
      <w:contextualSpacing/>
    </w:pPr>
  </w:style>
  <w:style w:type="paragraph" w:styleId="List3">
    <w:name w:val="List 3"/>
    <w:basedOn w:val="Normal"/>
    <w:semiHidden/>
    <w:rsid w:val="00405336"/>
    <w:pPr>
      <w:ind w:left="1080" w:hanging="360"/>
      <w:contextualSpacing/>
    </w:pPr>
  </w:style>
  <w:style w:type="paragraph" w:styleId="List4">
    <w:name w:val="List 4"/>
    <w:basedOn w:val="Normal"/>
    <w:semiHidden/>
    <w:rsid w:val="00405336"/>
    <w:pPr>
      <w:ind w:left="1440" w:hanging="360"/>
      <w:contextualSpacing/>
    </w:pPr>
  </w:style>
  <w:style w:type="paragraph" w:styleId="List5">
    <w:name w:val="List 5"/>
    <w:basedOn w:val="Normal"/>
    <w:semiHidden/>
    <w:rsid w:val="00405336"/>
    <w:pPr>
      <w:ind w:left="1800" w:hanging="360"/>
      <w:contextualSpacing/>
    </w:pPr>
  </w:style>
  <w:style w:type="paragraph" w:styleId="ListBullet">
    <w:name w:val="List Bullet"/>
    <w:basedOn w:val="Normal"/>
    <w:semiHidden/>
    <w:rsid w:val="00405336"/>
    <w:pPr>
      <w:numPr>
        <w:numId w:val="1"/>
      </w:numPr>
      <w:contextualSpacing/>
    </w:pPr>
  </w:style>
  <w:style w:type="paragraph" w:styleId="ListBullet2">
    <w:name w:val="List Bullet 2"/>
    <w:basedOn w:val="Normal"/>
    <w:semiHidden/>
    <w:rsid w:val="00405336"/>
    <w:pPr>
      <w:numPr>
        <w:numId w:val="2"/>
      </w:numPr>
      <w:contextualSpacing/>
    </w:pPr>
  </w:style>
  <w:style w:type="paragraph" w:styleId="ListBullet3">
    <w:name w:val="List Bullet 3"/>
    <w:basedOn w:val="Normal"/>
    <w:semiHidden/>
    <w:rsid w:val="00405336"/>
    <w:pPr>
      <w:numPr>
        <w:numId w:val="3"/>
      </w:numPr>
      <w:contextualSpacing/>
    </w:pPr>
  </w:style>
  <w:style w:type="paragraph" w:styleId="ListBullet4">
    <w:name w:val="List Bullet 4"/>
    <w:basedOn w:val="Normal"/>
    <w:semiHidden/>
    <w:rsid w:val="00405336"/>
    <w:pPr>
      <w:numPr>
        <w:numId w:val="4"/>
      </w:numPr>
      <w:contextualSpacing/>
    </w:pPr>
  </w:style>
  <w:style w:type="paragraph" w:styleId="ListBullet5">
    <w:name w:val="List Bullet 5"/>
    <w:basedOn w:val="Normal"/>
    <w:semiHidden/>
    <w:rsid w:val="00405336"/>
    <w:pPr>
      <w:numPr>
        <w:numId w:val="5"/>
      </w:numPr>
      <w:contextualSpacing/>
    </w:pPr>
  </w:style>
  <w:style w:type="paragraph" w:styleId="ListContinue">
    <w:name w:val="List Continue"/>
    <w:basedOn w:val="Normal"/>
    <w:semiHidden/>
    <w:rsid w:val="00405336"/>
    <w:pPr>
      <w:spacing w:after="120"/>
      <w:ind w:left="360"/>
      <w:contextualSpacing/>
    </w:pPr>
  </w:style>
  <w:style w:type="paragraph" w:styleId="ListContinue2">
    <w:name w:val="List Continue 2"/>
    <w:basedOn w:val="Normal"/>
    <w:semiHidden/>
    <w:rsid w:val="00405336"/>
    <w:pPr>
      <w:spacing w:after="120"/>
      <w:ind w:left="720"/>
      <w:contextualSpacing/>
    </w:pPr>
  </w:style>
  <w:style w:type="paragraph" w:styleId="ListContinue3">
    <w:name w:val="List Continue 3"/>
    <w:basedOn w:val="Normal"/>
    <w:semiHidden/>
    <w:rsid w:val="00405336"/>
    <w:pPr>
      <w:spacing w:after="120"/>
      <w:ind w:left="1080"/>
      <w:contextualSpacing/>
    </w:pPr>
  </w:style>
  <w:style w:type="paragraph" w:styleId="ListContinue4">
    <w:name w:val="List Continue 4"/>
    <w:basedOn w:val="Normal"/>
    <w:semiHidden/>
    <w:rsid w:val="00405336"/>
    <w:pPr>
      <w:spacing w:after="120"/>
      <w:ind w:left="1440"/>
      <w:contextualSpacing/>
    </w:pPr>
  </w:style>
  <w:style w:type="paragraph" w:styleId="ListContinue5">
    <w:name w:val="List Continue 5"/>
    <w:basedOn w:val="Normal"/>
    <w:semiHidden/>
    <w:rsid w:val="00405336"/>
    <w:pPr>
      <w:spacing w:after="120"/>
      <w:ind w:left="1800"/>
      <w:contextualSpacing/>
    </w:pPr>
  </w:style>
  <w:style w:type="paragraph" w:styleId="ListNumber">
    <w:name w:val="List Number"/>
    <w:basedOn w:val="Normal"/>
    <w:semiHidden/>
    <w:rsid w:val="00405336"/>
    <w:pPr>
      <w:numPr>
        <w:numId w:val="6"/>
      </w:numPr>
      <w:contextualSpacing/>
    </w:pPr>
  </w:style>
  <w:style w:type="paragraph" w:styleId="ListNumber2">
    <w:name w:val="List Number 2"/>
    <w:basedOn w:val="Normal"/>
    <w:semiHidden/>
    <w:rsid w:val="00405336"/>
    <w:pPr>
      <w:numPr>
        <w:numId w:val="7"/>
      </w:numPr>
      <w:contextualSpacing/>
    </w:pPr>
  </w:style>
  <w:style w:type="paragraph" w:styleId="ListNumber3">
    <w:name w:val="List Number 3"/>
    <w:basedOn w:val="Normal"/>
    <w:semiHidden/>
    <w:rsid w:val="00405336"/>
    <w:pPr>
      <w:numPr>
        <w:numId w:val="8"/>
      </w:numPr>
      <w:contextualSpacing/>
    </w:pPr>
  </w:style>
  <w:style w:type="paragraph" w:styleId="ListNumber4">
    <w:name w:val="List Number 4"/>
    <w:basedOn w:val="Normal"/>
    <w:semiHidden/>
    <w:rsid w:val="00405336"/>
    <w:pPr>
      <w:numPr>
        <w:numId w:val="9"/>
      </w:numPr>
      <w:contextualSpacing/>
    </w:pPr>
  </w:style>
  <w:style w:type="paragraph" w:styleId="ListNumber5">
    <w:name w:val="List Number 5"/>
    <w:basedOn w:val="Normal"/>
    <w:semiHidden/>
    <w:rsid w:val="00405336"/>
    <w:pPr>
      <w:numPr>
        <w:numId w:val="10"/>
      </w:numPr>
      <w:contextualSpacing/>
    </w:pPr>
  </w:style>
  <w:style w:type="paragraph" w:styleId="ListParagraph">
    <w:name w:val="List Paragraph"/>
    <w:basedOn w:val="Normal"/>
    <w:uiPriority w:val="34"/>
    <w:semiHidden/>
    <w:qFormat/>
    <w:rsid w:val="00405336"/>
    <w:pPr>
      <w:ind w:left="720"/>
    </w:pPr>
  </w:style>
  <w:style w:type="paragraph" w:styleId="MacroText">
    <w:name w:val="macro"/>
    <w:link w:val="MacroTextChar"/>
    <w:semiHidden/>
    <w:rsid w:val="0040533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link w:val="MacroText"/>
    <w:semiHidden/>
    <w:rsid w:val="00FF04E3"/>
    <w:rPr>
      <w:rFonts w:ascii="Courier New" w:hAnsi="Courier New" w:cs="Courier New"/>
      <w:lang w:val="en-US" w:eastAsia="en-US" w:bidi="ar-SA"/>
    </w:rPr>
  </w:style>
  <w:style w:type="paragraph" w:styleId="MessageHeader">
    <w:name w:val="Message Header"/>
    <w:basedOn w:val="Normal"/>
    <w:link w:val="MessageHeaderChar"/>
    <w:semiHidden/>
    <w:rsid w:val="00405336"/>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link w:val="MessageHeader"/>
    <w:semiHidden/>
    <w:rsid w:val="00FF04E3"/>
    <w:rPr>
      <w:rFonts w:ascii="Cambria" w:hAnsi="Cambria"/>
      <w:sz w:val="24"/>
      <w:szCs w:val="24"/>
      <w:shd w:val="pct20" w:color="auto" w:fill="auto"/>
    </w:rPr>
  </w:style>
  <w:style w:type="paragraph" w:styleId="NoSpacing">
    <w:name w:val="No Spacing"/>
    <w:uiPriority w:val="1"/>
    <w:semiHidden/>
    <w:qFormat/>
    <w:rsid w:val="00405336"/>
    <w:rPr>
      <w:sz w:val="24"/>
    </w:rPr>
  </w:style>
  <w:style w:type="paragraph" w:styleId="NormalWeb">
    <w:name w:val="Normal (Web)"/>
    <w:basedOn w:val="Normal"/>
    <w:uiPriority w:val="99"/>
    <w:semiHidden/>
    <w:rsid w:val="00405336"/>
    <w:rPr>
      <w:szCs w:val="24"/>
    </w:rPr>
  </w:style>
  <w:style w:type="paragraph" w:styleId="NormalIndent">
    <w:name w:val="Normal Indent"/>
    <w:basedOn w:val="Normal"/>
    <w:semiHidden/>
    <w:rsid w:val="00405336"/>
    <w:pPr>
      <w:ind w:left="720"/>
    </w:pPr>
  </w:style>
  <w:style w:type="paragraph" w:styleId="NoteHeading">
    <w:name w:val="Note Heading"/>
    <w:basedOn w:val="Normal"/>
    <w:next w:val="Normal"/>
    <w:link w:val="NoteHeadingChar"/>
    <w:semiHidden/>
    <w:rsid w:val="00405336"/>
  </w:style>
  <w:style w:type="character" w:customStyle="1" w:styleId="NoteHeadingChar">
    <w:name w:val="Note Heading Char"/>
    <w:link w:val="NoteHeading"/>
    <w:semiHidden/>
    <w:rsid w:val="00FF04E3"/>
    <w:rPr>
      <w:sz w:val="24"/>
    </w:rPr>
  </w:style>
  <w:style w:type="paragraph" w:styleId="PlainText">
    <w:name w:val="Plain Text"/>
    <w:basedOn w:val="Normal"/>
    <w:link w:val="PlainTextChar"/>
    <w:semiHidden/>
    <w:rsid w:val="00405336"/>
    <w:rPr>
      <w:rFonts w:ascii="Courier New" w:hAnsi="Courier New" w:cs="Courier New"/>
      <w:sz w:val="20"/>
    </w:rPr>
  </w:style>
  <w:style w:type="character" w:customStyle="1" w:styleId="PlainTextChar">
    <w:name w:val="Plain Text Char"/>
    <w:link w:val="PlainText"/>
    <w:semiHidden/>
    <w:rsid w:val="00FF04E3"/>
    <w:rPr>
      <w:rFonts w:ascii="Courier New" w:hAnsi="Courier New" w:cs="Courier New"/>
    </w:rPr>
  </w:style>
  <w:style w:type="paragraph" w:styleId="Quote">
    <w:name w:val="Quote"/>
    <w:basedOn w:val="Normal"/>
    <w:next w:val="Normal"/>
    <w:link w:val="QuoteChar"/>
    <w:uiPriority w:val="29"/>
    <w:semiHidden/>
    <w:qFormat/>
    <w:rsid w:val="00405336"/>
    <w:rPr>
      <w:i/>
      <w:iCs/>
      <w:color w:val="000000"/>
    </w:rPr>
  </w:style>
  <w:style w:type="character" w:customStyle="1" w:styleId="QuoteChar">
    <w:name w:val="Quote Char"/>
    <w:link w:val="Quote"/>
    <w:uiPriority w:val="29"/>
    <w:semiHidden/>
    <w:rsid w:val="00FF04E3"/>
    <w:rPr>
      <w:i/>
      <w:iCs/>
      <w:color w:val="000000"/>
      <w:sz w:val="24"/>
    </w:rPr>
  </w:style>
  <w:style w:type="paragraph" w:styleId="Salutation">
    <w:name w:val="Salutation"/>
    <w:basedOn w:val="Normal"/>
    <w:next w:val="Normal"/>
    <w:link w:val="SalutationChar"/>
    <w:semiHidden/>
    <w:rsid w:val="00405336"/>
  </w:style>
  <w:style w:type="character" w:customStyle="1" w:styleId="SalutationChar">
    <w:name w:val="Salutation Char"/>
    <w:link w:val="Salutation"/>
    <w:semiHidden/>
    <w:rsid w:val="00FF04E3"/>
    <w:rPr>
      <w:sz w:val="24"/>
    </w:rPr>
  </w:style>
  <w:style w:type="paragraph" w:styleId="Signature">
    <w:name w:val="Signature"/>
    <w:basedOn w:val="Normal"/>
    <w:link w:val="SignatureChar"/>
    <w:semiHidden/>
    <w:rsid w:val="00405336"/>
    <w:pPr>
      <w:ind w:left="4320"/>
    </w:pPr>
  </w:style>
  <w:style w:type="character" w:customStyle="1" w:styleId="SignatureChar">
    <w:name w:val="Signature Char"/>
    <w:link w:val="Signature"/>
    <w:semiHidden/>
    <w:rsid w:val="00FF04E3"/>
    <w:rPr>
      <w:sz w:val="24"/>
    </w:rPr>
  </w:style>
  <w:style w:type="paragraph" w:styleId="Subtitle">
    <w:name w:val="Subtitle"/>
    <w:basedOn w:val="Normal"/>
    <w:next w:val="Normal"/>
    <w:link w:val="SubtitleChar"/>
    <w:semiHidden/>
    <w:qFormat/>
    <w:rsid w:val="00405336"/>
    <w:pPr>
      <w:spacing w:after="60"/>
      <w:jc w:val="center"/>
      <w:outlineLvl w:val="1"/>
    </w:pPr>
    <w:rPr>
      <w:rFonts w:ascii="Cambria" w:hAnsi="Cambria"/>
      <w:szCs w:val="24"/>
    </w:rPr>
  </w:style>
  <w:style w:type="character" w:customStyle="1" w:styleId="SubtitleChar">
    <w:name w:val="Subtitle Char"/>
    <w:link w:val="Subtitle"/>
    <w:semiHidden/>
    <w:rsid w:val="00FF04E3"/>
    <w:rPr>
      <w:rFonts w:ascii="Cambria" w:hAnsi="Cambria"/>
      <w:sz w:val="24"/>
      <w:szCs w:val="24"/>
    </w:rPr>
  </w:style>
  <w:style w:type="paragraph" w:styleId="TableofAuthorities">
    <w:name w:val="table of authorities"/>
    <w:basedOn w:val="Normal"/>
    <w:next w:val="Normal"/>
    <w:semiHidden/>
    <w:rsid w:val="00405336"/>
    <w:pPr>
      <w:ind w:left="240" w:hanging="240"/>
    </w:pPr>
  </w:style>
  <w:style w:type="paragraph" w:styleId="TableofFigures">
    <w:name w:val="table of figures"/>
    <w:basedOn w:val="Normal"/>
    <w:next w:val="Normal"/>
    <w:semiHidden/>
    <w:rsid w:val="00405336"/>
  </w:style>
  <w:style w:type="paragraph" w:styleId="Title">
    <w:name w:val="Title"/>
    <w:basedOn w:val="Normal"/>
    <w:next w:val="Normal"/>
    <w:link w:val="TitleChar"/>
    <w:semiHidden/>
    <w:qFormat/>
    <w:rsid w:val="00405336"/>
    <w:pPr>
      <w:spacing w:before="240" w:after="60"/>
      <w:jc w:val="center"/>
      <w:outlineLvl w:val="0"/>
    </w:pPr>
    <w:rPr>
      <w:rFonts w:ascii="Cambria" w:hAnsi="Cambria"/>
      <w:b/>
      <w:bCs/>
      <w:kern w:val="28"/>
      <w:sz w:val="32"/>
      <w:szCs w:val="32"/>
    </w:rPr>
  </w:style>
  <w:style w:type="character" w:customStyle="1" w:styleId="TitleChar">
    <w:name w:val="Title Char"/>
    <w:link w:val="Title"/>
    <w:semiHidden/>
    <w:rsid w:val="00FF04E3"/>
    <w:rPr>
      <w:rFonts w:ascii="Cambria" w:hAnsi="Cambria"/>
      <w:b/>
      <w:bCs/>
      <w:kern w:val="28"/>
      <w:sz w:val="32"/>
      <w:szCs w:val="32"/>
    </w:rPr>
  </w:style>
  <w:style w:type="paragraph" w:styleId="TOAHeading">
    <w:name w:val="toa heading"/>
    <w:basedOn w:val="Normal"/>
    <w:next w:val="Normal"/>
    <w:semiHidden/>
    <w:rsid w:val="00405336"/>
    <w:pPr>
      <w:spacing w:before="120"/>
    </w:pPr>
    <w:rPr>
      <w:rFonts w:ascii="Cambria" w:hAnsi="Cambria"/>
      <w:b/>
      <w:bCs/>
      <w:szCs w:val="24"/>
    </w:rPr>
  </w:style>
  <w:style w:type="paragraph" w:styleId="TOC1">
    <w:name w:val="toc 1"/>
    <w:basedOn w:val="Normal"/>
    <w:next w:val="Normal"/>
    <w:autoRedefine/>
    <w:semiHidden/>
    <w:rsid w:val="00405336"/>
  </w:style>
  <w:style w:type="paragraph" w:styleId="TOC2">
    <w:name w:val="toc 2"/>
    <w:basedOn w:val="Normal"/>
    <w:next w:val="Normal"/>
    <w:autoRedefine/>
    <w:semiHidden/>
    <w:rsid w:val="00405336"/>
    <w:pPr>
      <w:ind w:left="240"/>
    </w:pPr>
  </w:style>
  <w:style w:type="paragraph" w:styleId="TOC3">
    <w:name w:val="toc 3"/>
    <w:basedOn w:val="Normal"/>
    <w:next w:val="Normal"/>
    <w:autoRedefine/>
    <w:semiHidden/>
    <w:rsid w:val="00405336"/>
    <w:pPr>
      <w:ind w:left="480"/>
    </w:pPr>
  </w:style>
  <w:style w:type="paragraph" w:styleId="TOC4">
    <w:name w:val="toc 4"/>
    <w:basedOn w:val="Normal"/>
    <w:next w:val="Normal"/>
    <w:autoRedefine/>
    <w:semiHidden/>
    <w:rsid w:val="00405336"/>
    <w:pPr>
      <w:ind w:left="720"/>
    </w:pPr>
  </w:style>
  <w:style w:type="paragraph" w:styleId="TOC5">
    <w:name w:val="toc 5"/>
    <w:basedOn w:val="Normal"/>
    <w:next w:val="Normal"/>
    <w:autoRedefine/>
    <w:semiHidden/>
    <w:rsid w:val="00405336"/>
    <w:pPr>
      <w:ind w:left="960"/>
    </w:pPr>
  </w:style>
  <w:style w:type="paragraph" w:styleId="TOC6">
    <w:name w:val="toc 6"/>
    <w:basedOn w:val="Normal"/>
    <w:next w:val="Normal"/>
    <w:autoRedefine/>
    <w:semiHidden/>
    <w:rsid w:val="00405336"/>
    <w:pPr>
      <w:ind w:left="1200"/>
    </w:pPr>
  </w:style>
  <w:style w:type="paragraph" w:styleId="TOC7">
    <w:name w:val="toc 7"/>
    <w:basedOn w:val="Normal"/>
    <w:next w:val="Normal"/>
    <w:autoRedefine/>
    <w:semiHidden/>
    <w:rsid w:val="00405336"/>
    <w:pPr>
      <w:ind w:left="1440"/>
    </w:pPr>
  </w:style>
  <w:style w:type="paragraph" w:styleId="TOC8">
    <w:name w:val="toc 8"/>
    <w:basedOn w:val="Normal"/>
    <w:next w:val="Normal"/>
    <w:autoRedefine/>
    <w:semiHidden/>
    <w:rsid w:val="00405336"/>
    <w:pPr>
      <w:ind w:left="1680"/>
    </w:pPr>
  </w:style>
  <w:style w:type="paragraph" w:styleId="TOC9">
    <w:name w:val="toc 9"/>
    <w:basedOn w:val="Normal"/>
    <w:next w:val="Normal"/>
    <w:autoRedefine/>
    <w:semiHidden/>
    <w:rsid w:val="00405336"/>
    <w:pPr>
      <w:ind w:left="1920"/>
    </w:pPr>
  </w:style>
  <w:style w:type="paragraph" w:styleId="TOCHeading">
    <w:name w:val="TOC Heading"/>
    <w:basedOn w:val="Heading1"/>
    <w:next w:val="Normal"/>
    <w:uiPriority w:val="39"/>
    <w:semiHidden/>
    <w:unhideWhenUsed/>
    <w:qFormat/>
    <w:rsid w:val="00405336"/>
    <w:pPr>
      <w:outlineLvl w:val="9"/>
    </w:pPr>
    <w:rPr>
      <w:rFonts w:ascii="Cambria" w:hAnsi="Cambria"/>
      <w:sz w:val="32"/>
      <w:szCs w:val="32"/>
    </w:rPr>
  </w:style>
  <w:style w:type="character" w:styleId="Hyperlink">
    <w:name w:val="Hyperlink"/>
    <w:semiHidden/>
    <w:rsid w:val="007402FC"/>
    <w:rPr>
      <w:color w:val="0000FF"/>
      <w:u w:val="single"/>
    </w:rPr>
  </w:style>
  <w:style w:type="paragraph" w:customStyle="1" w:styleId="body-copy-normal">
    <w:name w:val="body-copy-normal"/>
    <w:basedOn w:val="Normal"/>
    <w:rsid w:val="00FF3503"/>
    <w:pPr>
      <w:spacing w:before="100" w:beforeAutospacing="1" w:after="100" w:afterAutospacing="1"/>
    </w:pPr>
    <w:rPr>
      <w:szCs w:val="24"/>
    </w:rPr>
  </w:style>
  <w:style w:type="paragraph" w:customStyle="1" w:styleId="body-copy-ndent">
    <w:name w:val="body-copy-ndent"/>
    <w:basedOn w:val="Normal"/>
    <w:rsid w:val="00FF3503"/>
    <w:pPr>
      <w:spacing w:before="100" w:beforeAutospacing="1" w:after="100" w:afterAutospacing="1"/>
    </w:pPr>
    <w:rPr>
      <w:szCs w:val="24"/>
    </w:rPr>
  </w:style>
  <w:style w:type="character" w:styleId="Strong">
    <w:name w:val="Strong"/>
    <w:uiPriority w:val="22"/>
    <w:qFormat/>
    <w:rsid w:val="00FF3503"/>
    <w:rPr>
      <w:b/>
      <w:bCs/>
    </w:rPr>
  </w:style>
  <w:style w:type="character" w:styleId="CommentReference">
    <w:name w:val="annotation reference"/>
    <w:semiHidden/>
    <w:rsid w:val="002800B6"/>
    <w:rPr>
      <w:sz w:val="16"/>
      <w:szCs w:val="16"/>
    </w:rPr>
  </w:style>
  <w:style w:type="paragraph" w:customStyle="1" w:styleId="ImageCaption">
    <w:name w:val="Image Caption"/>
    <w:basedOn w:val="Caption"/>
    <w:rsid w:val="00951C8D"/>
    <w:pPr>
      <w:spacing w:after="120"/>
    </w:pPr>
    <w:rPr>
      <w:rFonts w:asciiTheme="minorHAnsi" w:eastAsiaTheme="minorHAnsi" w:hAnsiTheme="minorHAnsi" w:cstheme="minorBidi"/>
      <w:b w:val="0"/>
      <w:bCs w:val="0"/>
      <w:i/>
      <w:sz w:val="24"/>
      <w:szCs w:val="24"/>
    </w:rPr>
  </w:style>
  <w:style w:type="paragraph" w:customStyle="1" w:styleId="CaptionedFigure">
    <w:name w:val="Captioned Figure"/>
    <w:basedOn w:val="Normal"/>
    <w:rsid w:val="00951C8D"/>
    <w:pPr>
      <w:keepNext/>
      <w:spacing w:after="200"/>
    </w:pPr>
    <w:rPr>
      <w:rFonts w:asciiTheme="minorHAnsi" w:eastAsiaTheme="minorHAnsi" w:hAnsiTheme="minorHAnsi" w:cstheme="minorBidi"/>
      <w:szCs w:val="24"/>
    </w:rPr>
  </w:style>
  <w:style w:type="paragraph" w:customStyle="1" w:styleId="figure">
    <w:name w:val="figure]"/>
    <w:basedOn w:val="SMcaption"/>
    <w:link w:val="figureChar"/>
    <w:qFormat/>
    <w:rsid w:val="00456EB6"/>
    <w:pPr>
      <w:jc w:val="center"/>
    </w:pPr>
    <w:rPr>
      <w:rFonts w:ascii="Myriad Pro" w:hAnsi="Myriad Pro"/>
      <w:noProof/>
      <w:sz w:val="22"/>
      <w:szCs w:val="22"/>
    </w:rPr>
  </w:style>
  <w:style w:type="character" w:customStyle="1" w:styleId="SMTextChar">
    <w:name w:val="SM Text Char"/>
    <w:basedOn w:val="DefaultParagraphFont"/>
    <w:link w:val="SMText"/>
    <w:rsid w:val="00456EB6"/>
    <w:rPr>
      <w:sz w:val="24"/>
    </w:rPr>
  </w:style>
  <w:style w:type="character" w:customStyle="1" w:styleId="SMcaptionChar">
    <w:name w:val="SM caption Char"/>
    <w:basedOn w:val="SMTextChar"/>
    <w:link w:val="SMcaption"/>
    <w:rsid w:val="00456EB6"/>
    <w:rPr>
      <w:sz w:val="24"/>
    </w:rPr>
  </w:style>
  <w:style w:type="character" w:customStyle="1" w:styleId="figureChar">
    <w:name w:val="figure] Char"/>
    <w:basedOn w:val="SMcaptionChar"/>
    <w:link w:val="figure"/>
    <w:rsid w:val="00456EB6"/>
    <w:rPr>
      <w:rFonts w:ascii="Myriad Pro" w:hAnsi="Myriad Pro"/>
      <w:noProo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23527">
      <w:bodyDiv w:val="1"/>
      <w:marLeft w:val="0"/>
      <w:marRight w:val="0"/>
      <w:marTop w:val="0"/>
      <w:marBottom w:val="0"/>
      <w:divBdr>
        <w:top w:val="none" w:sz="0" w:space="0" w:color="auto"/>
        <w:left w:val="none" w:sz="0" w:space="0" w:color="auto"/>
        <w:bottom w:val="none" w:sz="0" w:space="0" w:color="auto"/>
        <w:right w:val="none" w:sz="0" w:space="0" w:color="auto"/>
      </w:divBdr>
    </w:div>
    <w:div w:id="203175800">
      <w:bodyDiv w:val="1"/>
      <w:marLeft w:val="0"/>
      <w:marRight w:val="0"/>
      <w:marTop w:val="0"/>
      <w:marBottom w:val="0"/>
      <w:divBdr>
        <w:top w:val="none" w:sz="0" w:space="0" w:color="auto"/>
        <w:left w:val="none" w:sz="0" w:space="0" w:color="auto"/>
        <w:bottom w:val="none" w:sz="0" w:space="0" w:color="auto"/>
        <w:right w:val="none" w:sz="0" w:space="0" w:color="auto"/>
      </w:divBdr>
    </w:div>
    <w:div w:id="546528266">
      <w:bodyDiv w:val="1"/>
      <w:marLeft w:val="0"/>
      <w:marRight w:val="0"/>
      <w:marTop w:val="0"/>
      <w:marBottom w:val="0"/>
      <w:divBdr>
        <w:top w:val="none" w:sz="0" w:space="0" w:color="auto"/>
        <w:left w:val="none" w:sz="0" w:space="0" w:color="auto"/>
        <w:bottom w:val="none" w:sz="0" w:space="0" w:color="auto"/>
        <w:right w:val="none" w:sz="0" w:space="0" w:color="auto"/>
      </w:divBdr>
    </w:div>
    <w:div w:id="873155705">
      <w:bodyDiv w:val="1"/>
      <w:marLeft w:val="0"/>
      <w:marRight w:val="0"/>
      <w:marTop w:val="0"/>
      <w:marBottom w:val="0"/>
      <w:divBdr>
        <w:top w:val="none" w:sz="0" w:space="0" w:color="auto"/>
        <w:left w:val="none" w:sz="0" w:space="0" w:color="auto"/>
        <w:bottom w:val="none" w:sz="0" w:space="0" w:color="auto"/>
        <w:right w:val="none" w:sz="0" w:space="0" w:color="auto"/>
      </w:divBdr>
    </w:div>
    <w:div w:id="940841139">
      <w:bodyDiv w:val="1"/>
      <w:marLeft w:val="0"/>
      <w:marRight w:val="0"/>
      <w:marTop w:val="0"/>
      <w:marBottom w:val="0"/>
      <w:divBdr>
        <w:top w:val="none" w:sz="0" w:space="0" w:color="auto"/>
        <w:left w:val="none" w:sz="0" w:space="0" w:color="auto"/>
        <w:bottom w:val="none" w:sz="0" w:space="0" w:color="auto"/>
        <w:right w:val="none" w:sz="0" w:space="0" w:color="auto"/>
      </w:divBdr>
    </w:div>
    <w:div w:id="1013923439">
      <w:bodyDiv w:val="1"/>
      <w:marLeft w:val="0"/>
      <w:marRight w:val="0"/>
      <w:marTop w:val="0"/>
      <w:marBottom w:val="0"/>
      <w:divBdr>
        <w:top w:val="none" w:sz="0" w:space="0" w:color="auto"/>
        <w:left w:val="none" w:sz="0" w:space="0" w:color="auto"/>
        <w:bottom w:val="none" w:sz="0" w:space="0" w:color="auto"/>
        <w:right w:val="none" w:sz="0" w:space="0" w:color="auto"/>
      </w:divBdr>
    </w:div>
    <w:div w:id="1223639762">
      <w:bodyDiv w:val="1"/>
      <w:marLeft w:val="0"/>
      <w:marRight w:val="0"/>
      <w:marTop w:val="0"/>
      <w:marBottom w:val="0"/>
      <w:divBdr>
        <w:top w:val="none" w:sz="0" w:space="0" w:color="auto"/>
        <w:left w:val="none" w:sz="0" w:space="0" w:color="auto"/>
        <w:bottom w:val="none" w:sz="0" w:space="0" w:color="auto"/>
        <w:right w:val="none" w:sz="0" w:space="0" w:color="auto"/>
      </w:divBdr>
    </w:div>
    <w:div w:id="1236816127">
      <w:bodyDiv w:val="1"/>
      <w:marLeft w:val="0"/>
      <w:marRight w:val="0"/>
      <w:marTop w:val="0"/>
      <w:marBottom w:val="0"/>
      <w:divBdr>
        <w:top w:val="none" w:sz="0" w:space="0" w:color="auto"/>
        <w:left w:val="none" w:sz="0" w:space="0" w:color="auto"/>
        <w:bottom w:val="none" w:sz="0" w:space="0" w:color="auto"/>
        <w:right w:val="none" w:sz="0" w:space="0" w:color="auto"/>
      </w:divBdr>
    </w:div>
    <w:div w:id="1273397245">
      <w:bodyDiv w:val="1"/>
      <w:marLeft w:val="0"/>
      <w:marRight w:val="0"/>
      <w:marTop w:val="0"/>
      <w:marBottom w:val="0"/>
      <w:divBdr>
        <w:top w:val="none" w:sz="0" w:space="0" w:color="auto"/>
        <w:left w:val="none" w:sz="0" w:space="0" w:color="auto"/>
        <w:bottom w:val="none" w:sz="0" w:space="0" w:color="auto"/>
        <w:right w:val="none" w:sz="0" w:space="0" w:color="auto"/>
      </w:divBdr>
    </w:div>
    <w:div w:id="1450274029">
      <w:bodyDiv w:val="1"/>
      <w:marLeft w:val="0"/>
      <w:marRight w:val="0"/>
      <w:marTop w:val="0"/>
      <w:marBottom w:val="0"/>
      <w:divBdr>
        <w:top w:val="none" w:sz="0" w:space="0" w:color="auto"/>
        <w:left w:val="none" w:sz="0" w:space="0" w:color="auto"/>
        <w:bottom w:val="none" w:sz="0" w:space="0" w:color="auto"/>
        <w:right w:val="none" w:sz="0" w:space="0" w:color="auto"/>
      </w:divBdr>
    </w:div>
    <w:div w:id="1839466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A4798-CD3D-4055-9F8E-CC929D9C3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19</Pages>
  <Words>2241</Words>
  <Characters>12778</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Supporting Online Material for</vt:lpstr>
    </vt:vector>
  </TitlesOfParts>
  <Company>AAAS</Company>
  <LinksUpToDate>false</LinksUpToDate>
  <CharactersWithSpaces>14990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Online Material for</dc:title>
  <dc:subject/>
  <dc:creator>Brooks Hanson;Dawit Tegbaru;Brian Sedora</dc:creator>
  <cp:keywords/>
  <dc:description/>
  <cp:lastModifiedBy>Xiaoyu LIU (DEPS)</cp:lastModifiedBy>
  <cp:revision>7</cp:revision>
  <cp:lastPrinted>2014-09-30T16:49:00Z</cp:lastPrinted>
  <dcterms:created xsi:type="dcterms:W3CDTF">2026-07-06T03:52:00Z</dcterms:created>
  <dcterms:modified xsi:type="dcterms:W3CDTF">2026-07-06T04:48:00Z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7dcbb01b-4106-4fb3-934f-c906bec2f8f5</vt:lpwstr>
  </property>
</Properties>
</file>