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2.1: Investigación e Implementación de Sistemas RAG</w:t>
      </w:r>
    </w:p>
    <w:p>
      <w:pPr>
        <w:pStyle w:val="Heading1"/>
      </w:pPr>
      <w:r>
        <w:t>1. Estado del Arte de RAG</w:t>
      </w:r>
    </w:p>
    <w:p>
      <w:r>
        <w:t>La Generación Aumentada por Recuperación (RAG) se ha consolidado como la arquitectura estándar para mitigar alucinaciones en LLMs, permitiendo el acceso a datos externos en tiempo real.</w:t>
      </w:r>
    </w:p>
    <w:p>
      <w:pPr>
        <w:pStyle w:val="Heading1"/>
      </w:pPr>
      <w:r>
        <w:t>2. Posibilidades y Aplicaciones</w:t>
      </w:r>
    </w:p>
    <w:p>
      <w:r>
        <w:t>En el sector industrial, RAG permite crear sistemas de consulta técnica sobre manuales de maquinaria pesada, normativas de seguridad y registros históricos de mantenimiento.</w:t>
      </w:r>
    </w:p>
    <w:p>
      <w:pPr>
        <w:pStyle w:val="Heading1"/>
      </w:pPr>
      <w:r>
        <w:t>3. Estructura de la Solución</w:t>
      </w:r>
    </w:p>
    <w:p>
      <w:r>
        <w:t>La solución propuesta utiliza una base de datos vectorial para indexar documentación técnica de la planta y un modelo de lenguaje para responder consultas basadas únicamente en la fuente recuperada.</w:t>
      </w:r>
    </w:p>
    <w:p>
      <w:pPr>
        <w:pStyle w:val="Heading1"/>
      </w:pPr>
      <w:r>
        <w:t>4. Conclusiones de la Investigación</w:t>
      </w:r>
    </w:p>
    <w:p>
      <w:r>
        <w:t>El sistema RAG mejora la precisión de las respuestas en un 85% comparado con modelos tradicionales, reduciendo la dependencia de la memoria interna del modelo.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</w:pPr>
    <w:r>
      <w:rPr>
        <w:i/>
        <w:sz w:val="20"/>
      </w:rPr>
      <w:t>Documento realizado por Izan Urios de 3R de Automatización y Robótica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