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Ejercicio 2.3: Generación y Validación de Código SCL (IEC 61131-3)</w:t>
      </w:r>
    </w:p>
    <w:p>
      <w:pPr>
        <w:pStyle w:val="Heading1"/>
      </w:pPr>
      <w:r>
        <w:t>1. El estándar IEC 61131-3 y SCL</w:t>
      </w:r>
    </w:p>
    <w:p>
      <w:r>
        <w:t>IEC 61131-3 es el estándar internacional para autómatas programables. SCL es el lenguaje de alto nivel basado en texto que permite una programación modular y estructurada.</w:t>
      </w:r>
    </w:p>
    <w:p>
      <w:pPr>
        <w:pStyle w:val="Heading1"/>
      </w:pPr>
      <w:r>
        <w:t>2. Aplicación en entornos Siemens</w:t>
      </w:r>
    </w:p>
    <w:p>
      <w:r>
        <w:t>Siemens integra SCL en su entorno TIA Portal, facilitando la creación de bloques de función (FB) complejos que requieren iteraciones y lógica matemática avanzada.</w:t>
      </w:r>
    </w:p>
    <w:p>
      <w:pPr>
        <w:pStyle w:val="Heading1"/>
      </w:pPr>
      <w:r>
        <w:t>3. Solución Full-Stack de Validación</w:t>
      </w:r>
    </w:p>
    <w:p>
      <w:r>
        <w:t>Se ha planteado una infraestructura (Frontend: React, Backend: Node, DB: SQLite) para gestionar y validar fragmentos de código SCL, asegurando el cumplimiento de la norma antes de la carga al PLC.</w:t>
      </w:r>
    </w:p>
    <w:p>
      <w:pPr>
        <w:pStyle w:val="Heading1"/>
      </w:pPr>
      <w:r>
        <w:t>4. Conclusiones</w:t>
      </w:r>
    </w:p>
    <w:p>
      <w:r>
        <w:t>La automatización de la validación de código SCL garantiza una reducción drástica de errores de sintaxis en fase de puesta en marcha.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auto"/>
      </w:pBdr>
    </w:pPr>
    <w:r>
      <w:rPr>
        <w:i/>
        <w:sz w:val="20"/>
      </w:rPr>
      <w:t>Documento realizado por Izan Urios de 3R de Automatización y Robótica industrial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