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color w:val="000000"/>
          <w:sz w:val="36"/>
        </w:rPr>
        <w:t>GenoLigand-Search：分子诱导氨基酸片段的全基因组靶点发现方案 V1.6</w:t>
      </w:r>
    </w:p>
    <w:p>
      <w:pPr>
        <w:jc w:val="center"/>
      </w:pPr>
      <w:r>
        <w:rPr>
          <w:rFonts w:ascii="宋体" w:hAnsi="宋体" w:eastAsia="宋体"/>
          <w:b/>
          <w:color w:val="000000"/>
          <w:sz w:val="24"/>
        </w:rPr>
        <w:t>短路门控、pLM 预算控制与几何阈值 Fixture 校准修订版</w:t>
      </w:r>
    </w:p>
    <w:p>
      <w:pPr>
        <w:pStyle w:val="Heading1"/>
      </w:pPr>
      <w:r>
        <w:rPr>
          <w:rFonts w:ascii="宋体" w:hAnsi="宋体" w:eastAsia="宋体"/>
          <w:b/>
          <w:color w:val="000000"/>
          <w:sz w:val="32"/>
        </w:rPr>
        <w:t>一、本轮修订结论</w:t>
      </w:r>
    </w:p>
    <w:p>
      <w:r>
        <w:rPr>
          <w:rFonts w:ascii="宋体" w:hAnsi="宋体" w:eastAsia="宋体"/>
          <w:b w:val="0"/>
          <w:color w:val="000000"/>
          <w:sz w:val="21"/>
        </w:rPr>
        <w:t>V1.6 将 V1.5 的两个潜在风险转化为正式工程规范：第一，pLM（蛋白质语言模型，protein language model）不得作为 L1 后的第一道筛选器；第二，3D patch realization 中的距离和角度容差不得使用拍脑袋常数，必须由已知配体-口袋复合物 fixture 进行离线标定。</w:t>
      </w:r>
    </w:p>
    <w:p>
      <w:pPr>
        <w:pStyle w:val="ListBullet"/>
      </w:pPr>
      <w:r>
        <w:rPr>
          <w:rFonts w:ascii="宋体" w:hAnsi="宋体" w:eastAsia="宋体"/>
          <w:color w:val="000000"/>
          <w:sz w:val="21"/>
        </w:rPr>
        <w:t>新增 L1.20 Short-Circuit Gate（短路求值门控）：先使用极低成本规则、统计显著性、去重聚类和预算策略削减候选，再对少量代表性候选调用 pLM worker。</w:t>
      </w:r>
    </w:p>
    <w:p>
      <w:pPr>
        <w:pStyle w:val="ListBullet"/>
      </w:pPr>
      <w:r>
        <w:rPr>
          <w:rFonts w:ascii="宋体" w:hAnsi="宋体" w:eastAsia="宋体"/>
          <w:color w:val="000000"/>
          <w:sz w:val="21"/>
        </w:rPr>
        <w:t>新增 Tolerance Calibration Pack（几何容差校准包）：用已知蛋白-配体复合物 fixture 反向标定 radius_tolerance、angle_tolerance_deg 和 bucket_size，形成版本化 ToleranceProfile。</w:t>
      </w:r>
    </w:p>
    <w:p>
      <w:pPr>
        <w:pStyle w:val="ListBullet"/>
      </w:pPr>
      <w:r>
        <w:rPr>
          <w:rFonts w:ascii="宋体" w:hAnsi="宋体" w:eastAsia="宋体"/>
          <w:color w:val="000000"/>
          <w:sz w:val="21"/>
        </w:rPr>
        <w:t>升级 gls-patch-realizer：容差从全局常数改为按相互作用类型、结构置信度、配体类别和候选风险动态选择，并加入桶占用上限和自适应回退逻辑。</w:t>
      </w:r>
    </w:p>
    <w:p>
      <w:pPr>
        <w:pStyle w:val="ListBullet"/>
      </w:pPr>
      <w:r>
        <w:rPr>
          <w:rFonts w:ascii="宋体" w:hAnsi="宋体" w:eastAsia="宋体"/>
          <w:color w:val="000000"/>
          <w:sz w:val="21"/>
        </w:rPr>
        <w:t>保持 V1.5 原则：L1 命中不得直接折叠、不得直接 docking；IDP/IDR（固有无序蛋白/固有无序区域）在 MVP（最小可行产品，minimum viable product）阶段只输出趋势，不输出宏观结合自由能。</w:t>
      </w:r>
    </w:p>
    <w:p>
      <w:pPr>
        <w:pStyle w:val="Heading1"/>
      </w:pPr>
      <w:r>
        <w:rPr>
          <w:rFonts w:ascii="宋体" w:hAnsi="宋体" w:eastAsia="宋体"/>
          <w:b/>
          <w:color w:val="000000"/>
          <w:sz w:val="32"/>
        </w:rPr>
        <w:t>二、现状、应用场景与意义</w:t>
      </w:r>
    </w:p>
    <w:p>
      <w:r>
        <w:rPr>
          <w:rFonts w:ascii="宋体" w:hAnsi="宋体" w:eastAsia="宋体"/>
          <w:b w:val="0"/>
          <w:color w:val="000000"/>
          <w:sz w:val="21"/>
        </w:rPr>
        <w:t>GenoLigand-Search 的目标不是在已知蛋白数据库中做靶点检索，而是从一个已知活性分子的物理相互作用需求出发，在人类参考基因组、泛基因组和个体基因组的潜在翻译空间中寻找可能编码靶点片段的区域。</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rFonts w:ascii="宋体" w:hAnsi="宋体" w:eastAsia="宋体"/>
                <w:b/>
                <w:color w:val="000000"/>
                <w:sz w:val="18"/>
              </w:rPr>
              <w:t>问题</w:t>
            </w:r>
          </w:p>
        </w:tc>
        <w:tc>
          <w:tcPr>
            <w:tcW w:type="dxa" w:w="6480"/>
            <w:vAlign w:val="center"/>
            <w:shd w:fill="D9EAF7"/>
          </w:tcPr>
          <w:p>
            <w:r/>
            <w:r>
              <w:rPr>
                <w:rFonts w:ascii="宋体" w:hAnsi="宋体" w:eastAsia="宋体"/>
                <w:b/>
                <w:color w:val="000000"/>
                <w:sz w:val="18"/>
              </w:rPr>
              <w:t>本方案的处理</w:t>
            </w:r>
          </w:p>
        </w:tc>
      </w:tr>
      <w:tr>
        <w:tc>
          <w:tcPr>
            <w:tcW w:type="dxa" w:w="3168"/>
            <w:vAlign w:val="center"/>
          </w:tcPr>
          <w:p>
            <w:r/>
            <w:r>
              <w:rPr>
                <w:rFonts w:ascii="宋体" w:hAnsi="宋体" w:eastAsia="宋体"/>
                <w:b w:val="0"/>
                <w:color w:val="000000"/>
                <w:sz w:val="18"/>
              </w:rPr>
              <w:t>未知蛋白质组边界</w:t>
            </w:r>
          </w:p>
        </w:tc>
        <w:tc>
          <w:tcPr>
            <w:tcW w:type="dxa" w:w="6480"/>
            <w:vAlign w:val="center"/>
          </w:tcPr>
          <w:p>
            <w:r/>
            <w:r>
              <w:rPr>
                <w:rFonts w:ascii="宋体" w:hAnsi="宋体" w:eastAsia="宋体"/>
                <w:b w:val="0"/>
                <w:color w:val="000000"/>
                <w:sz w:val="18"/>
              </w:rPr>
              <w:t>候选空间从基因组和潜在 ORF 生成，已知蛋白库只作为注释和证据来源。</w:t>
            </w:r>
          </w:p>
        </w:tc>
      </w:tr>
      <w:tr>
        <w:tc>
          <w:tcPr>
            <w:tcW w:type="dxa" w:w="3168"/>
            <w:vAlign w:val="center"/>
          </w:tcPr>
          <w:p>
            <w:r/>
            <w:r>
              <w:rPr>
                <w:rFonts w:ascii="宋体" w:hAnsi="宋体" w:eastAsia="宋体"/>
                <w:b w:val="0"/>
                <w:color w:val="000000"/>
                <w:sz w:val="18"/>
              </w:rPr>
              <w:t>短片段随机命中太多</w:t>
            </w:r>
          </w:p>
        </w:tc>
        <w:tc>
          <w:tcPr>
            <w:tcW w:type="dxa" w:w="6480"/>
            <w:vAlign w:val="center"/>
          </w:tcPr>
          <w:p>
            <w:r/>
            <w:r>
              <w:rPr>
                <w:rFonts w:ascii="宋体" w:hAnsi="宋体" w:eastAsia="宋体"/>
                <w:b w:val="0"/>
                <w:color w:val="000000"/>
                <w:sz w:val="18"/>
              </w:rPr>
              <w:t>L1 使用背景概率、FDR（错误发现率，false discovery rate）和多片段共现显著性控制。</w:t>
            </w:r>
          </w:p>
        </w:tc>
      </w:tr>
      <w:tr>
        <w:tc>
          <w:tcPr>
            <w:tcW w:type="dxa" w:w="3168"/>
            <w:vAlign w:val="center"/>
          </w:tcPr>
          <w:p>
            <w:r/>
            <w:r>
              <w:rPr>
                <w:rFonts w:ascii="宋体" w:hAnsi="宋体" w:eastAsia="宋体"/>
                <w:b w:val="0"/>
                <w:color w:val="000000"/>
                <w:sz w:val="18"/>
              </w:rPr>
              <w:t>结构生成算力黑洞</w:t>
            </w:r>
          </w:p>
        </w:tc>
        <w:tc>
          <w:tcPr>
            <w:tcW w:type="dxa" w:w="6480"/>
            <w:vAlign w:val="center"/>
          </w:tcPr>
          <w:p>
            <w:r/>
            <w:r>
              <w:rPr>
                <w:rFonts w:ascii="宋体" w:hAnsi="宋体" w:eastAsia="宋体"/>
                <w:b w:val="0"/>
                <w:color w:val="000000"/>
                <w:sz w:val="18"/>
              </w:rPr>
              <w:t>L1.20 先短路过滤；L1.25 最后才调用 pLM embedding；L1.5 只处理预算内候选。</w:t>
            </w:r>
          </w:p>
        </w:tc>
      </w:tr>
      <w:tr>
        <w:tc>
          <w:tcPr>
            <w:tcW w:type="dxa" w:w="3168"/>
            <w:vAlign w:val="center"/>
          </w:tcPr>
          <w:p>
            <w:r/>
            <w:r>
              <w:rPr>
                <w:rFonts w:ascii="宋体" w:hAnsi="宋体" w:eastAsia="宋体"/>
                <w:b w:val="0"/>
                <w:color w:val="000000"/>
                <w:sz w:val="18"/>
              </w:rPr>
              <w:t>1D 片段无法证明 3D 结合位点</w:t>
            </w:r>
          </w:p>
        </w:tc>
        <w:tc>
          <w:tcPr>
            <w:tcW w:type="dxa" w:w="6480"/>
            <w:vAlign w:val="center"/>
          </w:tcPr>
          <w:p>
            <w:r/>
            <w:r>
              <w:rPr>
                <w:rFonts w:ascii="宋体" w:hAnsi="宋体" w:eastAsia="宋体"/>
                <w:b w:val="0"/>
                <w:color w:val="000000"/>
                <w:sz w:val="18"/>
              </w:rPr>
              <w:t>L1.5 通过 ICG/CPG 图匹配、几何哈希、RANSAC/Kabsch 对齐和 fixture 校准容差验证 3D patch。</w:t>
            </w:r>
          </w:p>
        </w:tc>
      </w:tr>
      <w:tr>
        <w:tc>
          <w:tcPr>
            <w:tcW w:type="dxa" w:w="3168"/>
            <w:vAlign w:val="center"/>
          </w:tcPr>
          <w:p>
            <w:r/>
            <w:r>
              <w:rPr>
                <w:rFonts w:ascii="宋体" w:hAnsi="宋体" w:eastAsia="宋体"/>
                <w:b w:val="0"/>
                <w:color w:val="000000"/>
                <w:sz w:val="18"/>
              </w:rPr>
              <w:t>IDP/IDR 热力学噪音</w:t>
            </w:r>
          </w:p>
        </w:tc>
        <w:tc>
          <w:tcPr>
            <w:tcW w:type="dxa" w:w="6480"/>
            <w:vAlign w:val="center"/>
          </w:tcPr>
          <w:p>
            <w:r/>
            <w:r>
              <w:rPr>
                <w:rFonts w:ascii="宋体" w:hAnsi="宋体" w:eastAsia="宋体"/>
                <w:b w:val="0"/>
                <w:color w:val="000000"/>
                <w:sz w:val="18"/>
              </w:rPr>
              <w:t>MVP 不给 ΔG_macro，只给 ensemble trend；严格自由能留给 post-MVP。</w:t>
            </w:r>
          </w:p>
        </w:tc>
      </w:tr>
    </w:tbl>
    <w:p>
      <w:r>
        <w:rPr>
          <w:rFonts w:ascii="宋体" w:hAnsi="宋体" w:eastAsia="宋体"/>
          <w:b w:val="0"/>
          <w:color w:val="000000"/>
          <w:sz w:val="21"/>
        </w:rPr>
        <w:t>应用场景包括：未知作用机制天然产物、表型筛选化合物、毒性靶点追踪、个体化基因组中的候选靶点发现、暗基因组 ORF 编码微蛋白假设生成，以及已知蛋白以外的新型靶点蛋白发现。</w:t>
      </w:r>
    </w:p>
    <w:p>
      <w:pPr>
        <w:pStyle w:val="Heading1"/>
      </w:pPr>
      <w:r>
        <w:rPr>
          <w:rFonts w:ascii="宋体" w:hAnsi="宋体" w:eastAsia="宋体"/>
          <w:b/>
          <w:color w:val="000000"/>
          <w:sz w:val="32"/>
        </w:rPr>
        <w:t>三、V1.6 计算漏斗</w:t>
      </w:r>
    </w:p>
    <w:p>
      <w:r>
        <w:rPr>
          <w:rFonts w:ascii="宋体" w:hAnsi="宋体" w:eastAsia="宋体"/>
          <w:b w:val="0"/>
          <w:color w:val="000000"/>
          <w:sz w:val="21"/>
        </w:rPr>
        <w:t>V1.6 的管线顺序如下，所有阶段都必须保留候选 provenance（来源追踪）、artifact hash、参数版本和失败原因：</w:t>
      </w:r>
    </w:p>
    <w:p>
      <w:r>
        <w:rPr>
          <w:rFonts w:ascii="宋体" w:hAnsi="宋体" w:eastAsia="宋体"/>
          <w:b w:val="0"/>
          <w:color w:val="000000"/>
          <w:sz w:val="21"/>
        </w:rPr>
        <w:t>L0 分子诱导残基片段生成 → L1 全基因组/泛基因组片段搜索与 FDR 校正 → L1.20 短路求值门控 → L1.25 pLM/序列结构可实现性门控 → L1.5 结构实现门控与 3D patch realization → L2 分子对接与局部几何优化 → L3 短程 MD（分子动力学，molecular dynamics）与 MM/GBSA（分子力学/广义玻恩表面积，molecular mechanics/generalized Born surface area）中筛（可选） → L4 ABFE/FEP（绝对结合自由能/自由能微扰）终筛（post-MVP） → L5 QM/MM（量子力学/分子力学混合计算）特殊化学验证（post-MVP）。</w:t>
      </w:r>
    </w:p>
    <w:p>
      <w:pPr>
        <w:pStyle w:val="Heading1"/>
      </w:pPr>
      <w:r>
        <w:rPr>
          <w:rFonts w:ascii="宋体" w:hAnsi="宋体" w:eastAsia="宋体"/>
          <w:b/>
          <w:color w:val="000000"/>
          <w:sz w:val="32"/>
        </w:rPr>
        <w:t>四、L1.20：短路求值门控</w:t>
      </w:r>
    </w:p>
    <w:p>
      <w:r>
        <w:rPr>
          <w:rFonts w:ascii="宋体" w:hAnsi="宋体" w:eastAsia="宋体"/>
          <w:b w:val="0"/>
          <w:color w:val="000000"/>
          <w:sz w:val="21"/>
        </w:rPr>
        <w:t>pLM embedding 不是零成本操作。当 L1 产生 10^5–10^6 级候选时，即使使用 ESM-2 这类不生成结构的模型，批量 embedding 仍会带来显存、批处理 padding、I/O 和缓存压力。因此 V1.6 在 pLM 之前增加 L1.20。</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20"/>
            <w:vAlign w:val="center"/>
            <w:shd w:fill="D9EAF7"/>
          </w:tcPr>
          <w:p>
            <w:r/>
            <w:r>
              <w:rPr>
                <w:rFonts w:ascii="宋体" w:hAnsi="宋体" w:eastAsia="宋体"/>
                <w:b/>
                <w:color w:val="000000"/>
                <w:sz w:val="18"/>
              </w:rPr>
              <w:t>顺序</w:t>
            </w:r>
          </w:p>
        </w:tc>
        <w:tc>
          <w:tcPr>
            <w:tcW w:type="dxa" w:w="2304"/>
            <w:vAlign w:val="center"/>
            <w:shd w:fill="D9EAF7"/>
          </w:tcPr>
          <w:p>
            <w:r/>
            <w:r>
              <w:rPr>
                <w:rFonts w:ascii="宋体" w:hAnsi="宋体" w:eastAsia="宋体"/>
                <w:b/>
                <w:color w:val="000000"/>
                <w:sz w:val="18"/>
              </w:rPr>
              <w:t>过滤层</w:t>
            </w:r>
          </w:p>
        </w:tc>
        <w:tc>
          <w:tcPr>
            <w:tcW w:type="dxa" w:w="5472"/>
            <w:vAlign w:val="center"/>
            <w:shd w:fill="D9EAF7"/>
          </w:tcPr>
          <w:p>
            <w:r/>
            <w:r>
              <w:rPr>
                <w:rFonts w:ascii="宋体" w:hAnsi="宋体" w:eastAsia="宋体"/>
                <w:b/>
                <w:color w:val="000000"/>
                <w:sz w:val="18"/>
              </w:rPr>
              <w:t>说明</w:t>
            </w:r>
          </w:p>
        </w:tc>
        <w:tc>
          <w:tcPr>
            <w:tcW w:type="dxa" w:w="1440"/>
            <w:vAlign w:val="center"/>
            <w:shd w:fill="D9EAF7"/>
          </w:tcPr>
          <w:p>
            <w:r/>
            <w:r>
              <w:rPr>
                <w:rFonts w:ascii="宋体" w:hAnsi="宋体" w:eastAsia="宋体"/>
                <w:b/>
                <w:color w:val="000000"/>
                <w:sz w:val="18"/>
              </w:rPr>
              <w:t>是否允许丢弃</w:t>
            </w:r>
          </w:p>
        </w:tc>
      </w:tr>
      <w:tr>
        <w:tc>
          <w:tcPr>
            <w:tcW w:type="dxa" w:w="720"/>
            <w:vAlign w:val="center"/>
          </w:tcPr>
          <w:p>
            <w:r/>
            <w:r>
              <w:rPr>
                <w:rFonts w:ascii="宋体" w:hAnsi="宋体" w:eastAsia="宋体"/>
                <w:b w:val="0"/>
                <w:color w:val="000000"/>
                <w:sz w:val="18"/>
              </w:rPr>
              <w:t>1</w:t>
            </w:r>
          </w:p>
        </w:tc>
        <w:tc>
          <w:tcPr>
            <w:tcW w:type="dxa" w:w="2304"/>
            <w:vAlign w:val="center"/>
          </w:tcPr>
          <w:p>
            <w:r/>
            <w:r>
              <w:rPr>
                <w:rFonts w:ascii="宋体" w:hAnsi="宋体" w:eastAsia="宋体"/>
                <w:b w:val="0"/>
                <w:color w:val="000000"/>
                <w:sz w:val="18"/>
              </w:rPr>
              <w:t>结构性规则</w:t>
            </w:r>
          </w:p>
        </w:tc>
        <w:tc>
          <w:tcPr>
            <w:tcW w:type="dxa" w:w="5472"/>
            <w:vAlign w:val="center"/>
          </w:tcPr>
          <w:p>
            <w:r/>
            <w:r>
              <w:rPr>
                <w:rFonts w:ascii="宋体" w:hAnsi="宋体" w:eastAsia="宋体"/>
                <w:b w:val="0"/>
                <w:color w:val="000000"/>
                <w:sz w:val="18"/>
              </w:rPr>
              <w:t>长度、stop-to-stop ORF、非法字符、极端短 ORF、明显重复序列。</w:t>
            </w:r>
          </w:p>
        </w:tc>
        <w:tc>
          <w:tcPr>
            <w:tcW w:type="dxa" w:w="1440"/>
            <w:vAlign w:val="center"/>
          </w:tcPr>
          <w:p>
            <w:r/>
            <w:r>
              <w:rPr>
                <w:rFonts w:ascii="宋体" w:hAnsi="宋体" w:eastAsia="宋体"/>
                <w:b w:val="0"/>
                <w:color w:val="000000"/>
                <w:sz w:val="18"/>
              </w:rPr>
              <w:t>允许</w:t>
            </w:r>
          </w:p>
        </w:tc>
      </w:tr>
      <w:tr>
        <w:tc>
          <w:tcPr>
            <w:tcW w:type="dxa" w:w="720"/>
            <w:vAlign w:val="center"/>
          </w:tcPr>
          <w:p>
            <w:r/>
            <w:r>
              <w:rPr>
                <w:rFonts w:ascii="宋体" w:hAnsi="宋体" w:eastAsia="宋体"/>
                <w:b w:val="0"/>
                <w:color w:val="000000"/>
                <w:sz w:val="18"/>
              </w:rPr>
              <w:t>2</w:t>
            </w:r>
          </w:p>
        </w:tc>
        <w:tc>
          <w:tcPr>
            <w:tcW w:type="dxa" w:w="2304"/>
            <w:vAlign w:val="center"/>
          </w:tcPr>
          <w:p>
            <w:r/>
            <w:r>
              <w:rPr>
                <w:rFonts w:ascii="宋体" w:hAnsi="宋体" w:eastAsia="宋体"/>
                <w:b w:val="0"/>
                <w:color w:val="000000"/>
                <w:sz w:val="18"/>
              </w:rPr>
              <w:t>低复杂度与熵</w:t>
            </w:r>
          </w:p>
        </w:tc>
        <w:tc>
          <w:tcPr>
            <w:tcW w:type="dxa" w:w="5472"/>
            <w:vAlign w:val="center"/>
          </w:tcPr>
          <w:p>
            <w:r/>
            <w:r>
              <w:rPr>
                <w:rFonts w:ascii="宋体" w:hAnsi="宋体" w:eastAsia="宋体"/>
                <w:b w:val="0"/>
                <w:color w:val="000000"/>
                <w:sz w:val="18"/>
              </w:rPr>
              <w:t>SEG-like 低复杂度、氨基酸熵、同聚物、重复二肽/三肽。</w:t>
            </w:r>
          </w:p>
        </w:tc>
        <w:tc>
          <w:tcPr>
            <w:tcW w:type="dxa" w:w="1440"/>
            <w:vAlign w:val="center"/>
          </w:tcPr>
          <w:p>
            <w:r/>
            <w:r>
              <w:rPr>
                <w:rFonts w:ascii="宋体" w:hAnsi="宋体" w:eastAsia="宋体"/>
                <w:b w:val="0"/>
                <w:color w:val="000000"/>
                <w:sz w:val="18"/>
              </w:rPr>
              <w:t>允许或降级</w:t>
            </w:r>
          </w:p>
        </w:tc>
      </w:tr>
      <w:tr>
        <w:tc>
          <w:tcPr>
            <w:tcW w:type="dxa" w:w="720"/>
            <w:vAlign w:val="center"/>
          </w:tcPr>
          <w:p>
            <w:r/>
            <w:r>
              <w:rPr>
                <w:rFonts w:ascii="宋体" w:hAnsi="宋体" w:eastAsia="宋体"/>
                <w:b w:val="0"/>
                <w:color w:val="000000"/>
                <w:sz w:val="18"/>
              </w:rPr>
              <w:t>3</w:t>
            </w:r>
          </w:p>
        </w:tc>
        <w:tc>
          <w:tcPr>
            <w:tcW w:type="dxa" w:w="2304"/>
            <w:vAlign w:val="center"/>
          </w:tcPr>
          <w:p>
            <w:r/>
            <w:r>
              <w:rPr>
                <w:rFonts w:ascii="宋体" w:hAnsi="宋体" w:eastAsia="宋体"/>
                <w:b w:val="0"/>
                <w:color w:val="000000"/>
                <w:sz w:val="18"/>
              </w:rPr>
              <w:t>统计显著性</w:t>
            </w:r>
          </w:p>
        </w:tc>
        <w:tc>
          <w:tcPr>
            <w:tcW w:type="dxa" w:w="5472"/>
            <w:vAlign w:val="center"/>
          </w:tcPr>
          <w:p>
            <w:r/>
            <w:r>
              <w:rPr>
                <w:rFonts w:ascii="宋体" w:hAnsi="宋体" w:eastAsia="宋体"/>
                <w:b w:val="0"/>
                <w:color w:val="000000"/>
                <w:sz w:val="18"/>
              </w:rPr>
              <w:t>片段信息量、背景概率、q 值、FDR、多片段共现显著性。</w:t>
            </w:r>
          </w:p>
        </w:tc>
        <w:tc>
          <w:tcPr>
            <w:tcW w:type="dxa" w:w="1440"/>
            <w:vAlign w:val="center"/>
          </w:tcPr>
          <w:p>
            <w:r/>
            <w:r>
              <w:rPr>
                <w:rFonts w:ascii="宋体" w:hAnsi="宋体" w:eastAsia="宋体"/>
                <w:b w:val="0"/>
                <w:color w:val="000000"/>
                <w:sz w:val="18"/>
              </w:rPr>
              <w:t>允许</w:t>
            </w:r>
          </w:p>
        </w:tc>
      </w:tr>
      <w:tr>
        <w:tc>
          <w:tcPr>
            <w:tcW w:type="dxa" w:w="720"/>
            <w:vAlign w:val="center"/>
          </w:tcPr>
          <w:p>
            <w:r/>
            <w:r>
              <w:rPr>
                <w:rFonts w:ascii="宋体" w:hAnsi="宋体" w:eastAsia="宋体"/>
                <w:b w:val="0"/>
                <w:color w:val="000000"/>
                <w:sz w:val="18"/>
              </w:rPr>
              <w:t>4</w:t>
            </w:r>
          </w:p>
        </w:tc>
        <w:tc>
          <w:tcPr>
            <w:tcW w:type="dxa" w:w="2304"/>
            <w:vAlign w:val="center"/>
          </w:tcPr>
          <w:p>
            <w:r/>
            <w:r>
              <w:rPr>
                <w:rFonts w:ascii="宋体" w:hAnsi="宋体" w:eastAsia="宋体"/>
                <w:b w:val="0"/>
                <w:color w:val="000000"/>
                <w:sz w:val="18"/>
              </w:rPr>
              <w:t>去重与聚类</w:t>
            </w:r>
          </w:p>
        </w:tc>
        <w:tc>
          <w:tcPr>
            <w:tcW w:type="dxa" w:w="5472"/>
            <w:vAlign w:val="center"/>
          </w:tcPr>
          <w:p>
            <w:r/>
            <w:r>
              <w:rPr>
                <w:rFonts w:ascii="宋体" w:hAnsi="宋体" w:eastAsia="宋体"/>
                <w:b w:val="0"/>
                <w:color w:val="000000"/>
                <w:sz w:val="18"/>
              </w:rPr>
              <w:t>相同序列 hash 去重，近似序列 MinHash/SimHash 聚类，只保留代表。</w:t>
            </w:r>
          </w:p>
        </w:tc>
        <w:tc>
          <w:tcPr>
            <w:tcW w:type="dxa" w:w="1440"/>
            <w:vAlign w:val="center"/>
          </w:tcPr>
          <w:p>
            <w:r/>
            <w:r>
              <w:rPr>
                <w:rFonts w:ascii="宋体" w:hAnsi="宋体" w:eastAsia="宋体"/>
                <w:b w:val="0"/>
                <w:color w:val="000000"/>
                <w:sz w:val="18"/>
              </w:rPr>
              <w:t>代表保留</w:t>
            </w:r>
          </w:p>
        </w:tc>
      </w:tr>
      <w:tr>
        <w:tc>
          <w:tcPr>
            <w:tcW w:type="dxa" w:w="720"/>
            <w:vAlign w:val="center"/>
          </w:tcPr>
          <w:p>
            <w:r/>
            <w:r>
              <w:rPr>
                <w:rFonts w:ascii="宋体" w:hAnsi="宋体" w:eastAsia="宋体"/>
                <w:b w:val="0"/>
                <w:color w:val="000000"/>
                <w:sz w:val="18"/>
              </w:rPr>
              <w:t>5</w:t>
            </w:r>
          </w:p>
        </w:tc>
        <w:tc>
          <w:tcPr>
            <w:tcW w:type="dxa" w:w="2304"/>
            <w:vAlign w:val="center"/>
          </w:tcPr>
          <w:p>
            <w:r/>
            <w:r>
              <w:rPr>
                <w:rFonts w:ascii="宋体" w:hAnsi="宋体" w:eastAsia="宋体"/>
                <w:b w:val="0"/>
                <w:color w:val="000000"/>
                <w:sz w:val="18"/>
              </w:rPr>
              <w:t>预算裁剪</w:t>
            </w:r>
          </w:p>
        </w:tc>
        <w:tc>
          <w:tcPr>
            <w:tcW w:type="dxa" w:w="5472"/>
            <w:vAlign w:val="center"/>
          </w:tcPr>
          <w:p>
            <w:r/>
            <w:r>
              <w:rPr>
                <w:rFonts w:ascii="宋体" w:hAnsi="宋体" w:eastAsia="宋体"/>
                <w:b w:val="0"/>
                <w:color w:val="000000"/>
                <w:sz w:val="18"/>
              </w:rPr>
              <w:t>per-shard、per-fragment-family、per-locus-class top-K。</w:t>
            </w:r>
          </w:p>
        </w:tc>
        <w:tc>
          <w:tcPr>
            <w:tcW w:type="dxa" w:w="1440"/>
            <w:vAlign w:val="center"/>
          </w:tcPr>
          <w:p>
            <w:r/>
            <w:r>
              <w:rPr>
                <w:rFonts w:ascii="宋体" w:hAnsi="宋体" w:eastAsia="宋体"/>
                <w:b w:val="0"/>
                <w:color w:val="000000"/>
                <w:sz w:val="18"/>
              </w:rPr>
              <w:t>允许</w:t>
            </w:r>
          </w:p>
        </w:tc>
      </w:tr>
      <w:tr>
        <w:tc>
          <w:tcPr>
            <w:tcW w:type="dxa" w:w="720"/>
            <w:vAlign w:val="center"/>
          </w:tcPr>
          <w:p>
            <w:r/>
            <w:r>
              <w:rPr>
                <w:rFonts w:ascii="宋体" w:hAnsi="宋体" w:eastAsia="宋体"/>
                <w:b w:val="0"/>
                <w:color w:val="000000"/>
                <w:sz w:val="18"/>
              </w:rPr>
              <w:t>6</w:t>
            </w:r>
          </w:p>
        </w:tc>
        <w:tc>
          <w:tcPr>
            <w:tcW w:type="dxa" w:w="2304"/>
            <w:vAlign w:val="center"/>
          </w:tcPr>
          <w:p>
            <w:r/>
            <w:r>
              <w:rPr>
                <w:rFonts w:ascii="宋体" w:hAnsi="宋体" w:eastAsia="宋体"/>
                <w:b w:val="0"/>
                <w:color w:val="000000"/>
                <w:sz w:val="18"/>
              </w:rPr>
              <w:t>轻量上下文</w:t>
            </w:r>
          </w:p>
        </w:tc>
        <w:tc>
          <w:tcPr>
            <w:tcW w:type="dxa" w:w="5472"/>
            <w:vAlign w:val="center"/>
          </w:tcPr>
          <w:p>
            <w:r/>
            <w:r>
              <w:rPr>
                <w:rFonts w:ascii="宋体" w:hAnsi="宋体" w:eastAsia="宋体"/>
                <w:b w:val="0"/>
                <w:color w:val="000000"/>
                <w:sz w:val="18"/>
              </w:rPr>
              <w:t>ATAC-seq（转座酶可及染色质测序）、RNA-seq、Ribo-seq 证据只调优先级，不完全封杀暗基因组候选。</w:t>
            </w:r>
          </w:p>
        </w:tc>
        <w:tc>
          <w:tcPr>
            <w:tcW w:type="dxa" w:w="1440"/>
            <w:vAlign w:val="center"/>
          </w:tcPr>
          <w:p>
            <w:r/>
            <w:r>
              <w:rPr>
                <w:rFonts w:ascii="宋体" w:hAnsi="宋体" w:eastAsia="宋体"/>
                <w:b w:val="0"/>
                <w:color w:val="000000"/>
                <w:sz w:val="18"/>
              </w:rPr>
              <w:t>默认降级</w:t>
            </w:r>
          </w:p>
        </w:tc>
      </w:tr>
      <w:tr>
        <w:tc>
          <w:tcPr>
            <w:tcW w:type="dxa" w:w="720"/>
            <w:vAlign w:val="center"/>
          </w:tcPr>
          <w:p>
            <w:r/>
            <w:r>
              <w:rPr>
                <w:rFonts w:ascii="宋体" w:hAnsi="宋体" w:eastAsia="宋体"/>
                <w:b w:val="0"/>
                <w:color w:val="000000"/>
                <w:sz w:val="18"/>
              </w:rPr>
              <w:t>7</w:t>
            </w:r>
          </w:p>
        </w:tc>
        <w:tc>
          <w:tcPr>
            <w:tcW w:type="dxa" w:w="2304"/>
            <w:vAlign w:val="center"/>
          </w:tcPr>
          <w:p>
            <w:r/>
            <w:r>
              <w:rPr>
                <w:rFonts w:ascii="宋体" w:hAnsi="宋体" w:eastAsia="宋体"/>
                <w:b w:val="0"/>
                <w:color w:val="000000"/>
                <w:sz w:val="18"/>
              </w:rPr>
              <w:t>pLM 调用</w:t>
            </w:r>
          </w:p>
        </w:tc>
        <w:tc>
          <w:tcPr>
            <w:tcW w:type="dxa" w:w="5472"/>
            <w:vAlign w:val="center"/>
          </w:tcPr>
          <w:p>
            <w:r/>
            <w:r>
              <w:rPr>
                <w:rFonts w:ascii="宋体" w:hAnsi="宋体" w:eastAsia="宋体"/>
                <w:b w:val="0"/>
                <w:color w:val="000000"/>
                <w:sz w:val="18"/>
              </w:rPr>
              <w:t>只对剩余代表性候选调用 pLM worker，且必须使用缓存。</w:t>
            </w:r>
          </w:p>
        </w:tc>
        <w:tc>
          <w:tcPr>
            <w:tcW w:type="dxa" w:w="1440"/>
            <w:vAlign w:val="center"/>
          </w:tcPr>
          <w:p>
            <w:r/>
            <w:r>
              <w:rPr>
                <w:rFonts w:ascii="宋体" w:hAnsi="宋体" w:eastAsia="宋体"/>
                <w:b w:val="0"/>
                <w:color w:val="000000"/>
                <w:sz w:val="18"/>
              </w:rPr>
              <w:t>不直接丢弃</w:t>
            </w:r>
          </w:p>
        </w:tc>
      </w:tr>
    </w:tbl>
    <w:p>
      <w:r>
        <w:rPr>
          <w:rFonts w:ascii="宋体" w:hAnsi="宋体" w:eastAsia="宋体"/>
          <w:b w:val="0"/>
          <w:color w:val="000000"/>
          <w:sz w:val="21"/>
        </w:rPr>
        <w:t>实现要求：gls-plm-gate 必须采用 lazy evaluation（惰性求值）。任意高成本特征只能在低成本特征无法决策时计算。pLM worker 的调用必须具备 batching、length bucketing、sequence hash cache、model-version cache 和 GPU semaphore。</w:t>
      </w:r>
    </w:p>
    <w:p>
      <w:r>
        <w:rPr>
          <w:rFonts w:ascii="宋体" w:hAnsi="宋体" w:eastAsia="宋体"/>
          <w:b w:val="0"/>
          <w:color w:val="000000"/>
          <w:sz w:val="21"/>
        </w:rPr>
        <w:t>推荐新增数据结构 ShortCircuitGateResult，用于记录每个候选在哪一层被接受、降级或拒绝。拒绝原因必须机器可读，不能只写自然语言。</w:t>
      </w:r>
    </w:p>
    <w:p>
      <w:pPr>
        <w:pStyle w:val="Heading1"/>
      </w:pPr>
      <w:r>
        <w:rPr>
          <w:rFonts w:ascii="宋体" w:hAnsi="宋体" w:eastAsia="宋体"/>
          <w:b/>
          <w:color w:val="000000"/>
          <w:sz w:val="32"/>
        </w:rPr>
        <w:t>五、L1.25：pLM 门控的调用策略</w:t>
      </w:r>
    </w:p>
    <w:p>
      <w:r>
        <w:rPr>
          <w:rFonts w:ascii="宋体" w:hAnsi="宋体" w:eastAsia="宋体"/>
          <w:b w:val="0"/>
          <w:color w:val="000000"/>
          <w:sz w:val="21"/>
        </w:rPr>
        <w:t>pLM 用于辅助判断候选 ORF 是否具备基本结构可实现性、是否处于明显异常序列空间、是否存在可折叠局部片段或 MoRF（分子识别特征，molecular recognition feature）倾向。pLM 不能作为最终靶点证据。</w:t>
      </w:r>
    </w:p>
    <w:p>
      <w:pPr>
        <w:pStyle w:val="ListBullet"/>
      </w:pPr>
      <w:r>
        <w:rPr>
          <w:rFonts w:ascii="宋体" w:hAnsi="宋体" w:eastAsia="宋体"/>
          <w:color w:val="000000"/>
          <w:sz w:val="21"/>
        </w:rPr>
        <w:t>只对 L1.20 之后的代表性候选调用 pLM，不得对全量 L1 候选调用。</w:t>
      </w:r>
    </w:p>
    <w:p>
      <w:pPr>
        <w:pStyle w:val="ListBullet"/>
      </w:pPr>
      <w:r>
        <w:rPr>
          <w:rFonts w:ascii="宋体" w:hAnsi="宋体" w:eastAsia="宋体"/>
          <w:color w:val="000000"/>
          <w:sz w:val="21"/>
        </w:rPr>
        <w:t>对完全相同序列只计算一次 embedding；对高度相似候选先聚类，再对代表序列计算。</w:t>
      </w:r>
    </w:p>
    <w:p>
      <w:pPr>
        <w:pStyle w:val="ListBullet"/>
      </w:pPr>
      <w:r>
        <w:rPr>
          <w:rFonts w:ascii="宋体" w:hAnsi="宋体" w:eastAsia="宋体"/>
          <w:color w:val="000000"/>
          <w:sz w:val="21"/>
        </w:rPr>
        <w:t>按序列长度分桶，减少 transformer padding 浪费。</w:t>
      </w:r>
    </w:p>
    <w:p>
      <w:pPr>
        <w:pStyle w:val="ListBullet"/>
      </w:pPr>
      <w:r>
        <w:rPr>
          <w:rFonts w:ascii="宋体" w:hAnsi="宋体" w:eastAsia="宋体"/>
          <w:color w:val="000000"/>
          <w:sz w:val="21"/>
        </w:rPr>
        <w:t>先使用较小模型或压缩特征做初筛；只有边界候选才升级到更大 pLM。</w:t>
      </w:r>
    </w:p>
    <w:p>
      <w:pPr>
        <w:pStyle w:val="ListBullet"/>
      </w:pPr>
      <w:r>
        <w:rPr>
          <w:rFonts w:ascii="宋体" w:hAnsi="宋体" w:eastAsia="宋体"/>
          <w:color w:val="000000"/>
          <w:sz w:val="21"/>
        </w:rPr>
        <w:t>pLM 输出必须带模型名、权重版本、tokenizer 版本和缓存 hash。</w:t>
      </w:r>
    </w:p>
    <w:p>
      <w:pPr>
        <w:pStyle w:val="Heading1"/>
      </w:pPr>
      <w:r>
        <w:rPr>
          <w:rFonts w:ascii="宋体" w:hAnsi="宋体" w:eastAsia="宋体"/>
          <w:b/>
          <w:color w:val="000000"/>
          <w:sz w:val="32"/>
        </w:rPr>
        <w:t>六、L1.5：3D Patch Realization 与容差校准</w:t>
      </w:r>
    </w:p>
    <w:p>
      <w:r>
        <w:rPr>
          <w:rFonts w:ascii="宋体" w:hAnsi="宋体" w:eastAsia="宋体"/>
          <w:b w:val="0"/>
          <w:color w:val="000000"/>
          <w:sz w:val="21"/>
        </w:rPr>
        <w:t>V1.5 已将 3D patch realization 写成 ICG（InteractionConstraintGraph，分子诱导相互作用约束图）到 CPG（CandidatePatchGraph，候选口袋残基图）的属性约束图匹配。但 V1.5 仍存在“容差地狱”：距离容差太小会漏掉真实 patch，太大又会导致几何哈希桶爆炸。V1.6 要求容差必须经 fixture 标定。</w:t>
      </w:r>
    </w:p>
    <w:p>
      <w:pPr>
        <w:pStyle w:val="Heading2"/>
      </w:pPr>
      <w:r>
        <w:rPr>
          <w:rFonts w:ascii="宋体" w:hAnsi="宋体" w:eastAsia="宋体"/>
          <w:b/>
          <w:color w:val="000000"/>
          <w:sz w:val="26"/>
        </w:rPr>
        <w:t>6.1 Fixture 校准集</w:t>
      </w:r>
    </w:p>
    <w:p>
      <w:r>
        <w:rPr>
          <w:rFonts w:ascii="宋体" w:hAnsi="宋体" w:eastAsia="宋体"/>
          <w:b w:val="0"/>
          <w:color w:val="000000"/>
          <w:sz w:val="21"/>
        </w:rPr>
        <w:t>fixture 指已知蛋白-配体复合物及其人工构造的 hard negative。PDBbind、Binding MOAD、BioLiP2、BindingDB/结构亲和力数据可作为来源。校准集至少包含：氢键主导、疏水主导、芳香堆积、盐桥、金属配位、浅表口袋、深口袋、柔性侧链、apo/holo 差异等类别。</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rFonts w:ascii="宋体" w:hAnsi="宋体" w:eastAsia="宋体"/>
                <w:b/>
                <w:color w:val="000000"/>
                <w:sz w:val="18"/>
              </w:rPr>
              <w:t>Fixture 类型</w:t>
            </w:r>
          </w:p>
        </w:tc>
        <w:tc>
          <w:tcPr>
            <w:tcW w:type="dxa" w:w="6336"/>
            <w:vAlign w:val="center"/>
            <w:shd w:fill="D9EAF7"/>
          </w:tcPr>
          <w:p>
            <w:r/>
            <w:r>
              <w:rPr>
                <w:rFonts w:ascii="宋体" w:hAnsi="宋体" w:eastAsia="宋体"/>
                <w:b/>
                <w:color w:val="000000"/>
                <w:sz w:val="18"/>
              </w:rPr>
              <w:t>用途</w:t>
            </w:r>
          </w:p>
        </w:tc>
      </w:tr>
      <w:tr>
        <w:tc>
          <w:tcPr>
            <w:tcW w:type="dxa" w:w="3168"/>
            <w:vAlign w:val="center"/>
          </w:tcPr>
          <w:p>
            <w:r/>
            <w:r>
              <w:rPr>
                <w:rFonts w:ascii="宋体" w:hAnsi="宋体" w:eastAsia="宋体"/>
                <w:b w:val="0"/>
                <w:color w:val="000000"/>
                <w:sz w:val="18"/>
              </w:rPr>
              <w:t>Positive holo fixture</w:t>
            </w:r>
          </w:p>
        </w:tc>
        <w:tc>
          <w:tcPr>
            <w:tcW w:type="dxa" w:w="6336"/>
            <w:vAlign w:val="center"/>
          </w:tcPr>
          <w:p>
            <w:r/>
            <w:r>
              <w:rPr>
                <w:rFonts w:ascii="宋体" w:hAnsi="宋体" w:eastAsia="宋体"/>
                <w:b w:val="0"/>
                <w:color w:val="000000"/>
                <w:sz w:val="18"/>
              </w:rPr>
              <w:t>测量真实相互作用在 ICG/CPG 匹配中的 recall。</w:t>
            </w:r>
          </w:p>
        </w:tc>
      </w:tr>
      <w:tr>
        <w:tc>
          <w:tcPr>
            <w:tcW w:type="dxa" w:w="3168"/>
            <w:vAlign w:val="center"/>
          </w:tcPr>
          <w:p>
            <w:r/>
            <w:r>
              <w:rPr>
                <w:rFonts w:ascii="宋体" w:hAnsi="宋体" w:eastAsia="宋体"/>
                <w:b w:val="0"/>
                <w:color w:val="000000"/>
                <w:sz w:val="18"/>
              </w:rPr>
              <w:t>Positive perturbed fixture</w:t>
            </w:r>
          </w:p>
        </w:tc>
        <w:tc>
          <w:tcPr>
            <w:tcW w:type="dxa" w:w="6336"/>
            <w:vAlign w:val="center"/>
          </w:tcPr>
          <w:p>
            <w:r/>
            <w:r>
              <w:rPr>
                <w:rFonts w:ascii="宋体" w:hAnsi="宋体" w:eastAsia="宋体"/>
                <w:b w:val="0"/>
                <w:color w:val="000000"/>
                <w:sz w:val="18"/>
              </w:rPr>
              <w:t>评估坐标噪声、侧链 rotamer 和预测结构误差下的鲁棒性。</w:t>
            </w:r>
          </w:p>
        </w:tc>
      </w:tr>
      <w:tr>
        <w:tc>
          <w:tcPr>
            <w:tcW w:type="dxa" w:w="3168"/>
            <w:vAlign w:val="center"/>
          </w:tcPr>
          <w:p>
            <w:r/>
            <w:r>
              <w:rPr>
                <w:rFonts w:ascii="宋体" w:hAnsi="宋体" w:eastAsia="宋体"/>
                <w:b w:val="0"/>
                <w:color w:val="000000"/>
                <w:sz w:val="18"/>
              </w:rPr>
              <w:t>Hard negative same-residue fixture</w:t>
            </w:r>
          </w:p>
        </w:tc>
        <w:tc>
          <w:tcPr>
            <w:tcW w:type="dxa" w:w="6336"/>
            <w:vAlign w:val="center"/>
          </w:tcPr>
          <w:p>
            <w:r/>
            <w:r>
              <w:rPr>
                <w:rFonts w:ascii="宋体" w:hAnsi="宋体" w:eastAsia="宋体"/>
                <w:b w:val="0"/>
                <w:color w:val="000000"/>
                <w:sz w:val="18"/>
              </w:rPr>
              <w:t>残基类型相同但几何不成立，用于控制误报。</w:t>
            </w:r>
          </w:p>
        </w:tc>
      </w:tr>
      <w:tr>
        <w:tc>
          <w:tcPr>
            <w:tcW w:type="dxa" w:w="3168"/>
            <w:vAlign w:val="center"/>
          </w:tcPr>
          <w:p>
            <w:r/>
            <w:r>
              <w:rPr>
                <w:rFonts w:ascii="宋体" w:hAnsi="宋体" w:eastAsia="宋体"/>
                <w:b w:val="0"/>
                <w:color w:val="000000"/>
                <w:sz w:val="18"/>
              </w:rPr>
              <w:t>Pocket decoy fixture</w:t>
            </w:r>
          </w:p>
        </w:tc>
        <w:tc>
          <w:tcPr>
            <w:tcW w:type="dxa" w:w="6336"/>
            <w:vAlign w:val="center"/>
          </w:tcPr>
          <w:p>
            <w:r/>
            <w:r>
              <w:rPr>
                <w:rFonts w:ascii="宋体" w:hAnsi="宋体" w:eastAsia="宋体"/>
                <w:b w:val="0"/>
                <w:color w:val="000000"/>
                <w:sz w:val="18"/>
              </w:rPr>
              <w:t>口袋存在但不满足分子诱导几何，用于控制 bucket explosion。</w:t>
            </w:r>
          </w:p>
        </w:tc>
      </w:tr>
      <w:tr>
        <w:tc>
          <w:tcPr>
            <w:tcW w:type="dxa" w:w="3168"/>
            <w:vAlign w:val="center"/>
          </w:tcPr>
          <w:p>
            <w:r/>
            <w:r>
              <w:rPr>
                <w:rFonts w:ascii="宋体" w:hAnsi="宋体" w:eastAsia="宋体"/>
                <w:b w:val="0"/>
                <w:color w:val="000000"/>
                <w:sz w:val="18"/>
              </w:rPr>
              <w:t>Predicted-structure fixture</w:t>
            </w:r>
          </w:p>
        </w:tc>
        <w:tc>
          <w:tcPr>
            <w:tcW w:type="dxa" w:w="6336"/>
            <w:vAlign w:val="center"/>
          </w:tcPr>
          <w:p>
            <w:r/>
            <w:r>
              <w:rPr>
                <w:rFonts w:ascii="宋体" w:hAnsi="宋体" w:eastAsia="宋体"/>
                <w:b w:val="0"/>
                <w:color w:val="000000"/>
                <w:sz w:val="18"/>
              </w:rPr>
              <w:t>模拟 AlphaFold/ESMFold 结构误差下的容差需求。</w:t>
            </w:r>
          </w:p>
        </w:tc>
      </w:tr>
    </w:tbl>
    <w:p>
      <w:pPr>
        <w:pStyle w:val="Heading2"/>
      </w:pPr>
      <w:r>
        <w:rPr>
          <w:rFonts w:ascii="宋体" w:hAnsi="宋体" w:eastAsia="宋体"/>
          <w:b/>
          <w:color w:val="000000"/>
          <w:sz w:val="26"/>
        </w:rPr>
        <w:t>6.2 ToleranceProfile</w:t>
      </w:r>
    </w:p>
    <w:p>
      <w:r>
        <w:rPr>
          <w:rFonts w:ascii="宋体" w:hAnsi="宋体" w:eastAsia="宋体"/>
          <w:b w:val="0"/>
          <w:color w:val="000000"/>
          <w:sz w:val="21"/>
        </w:rPr>
        <w:t>容差不得是全局常数。系统必须生成版本化 ToleranceProfile：</w:t>
      </w:r>
    </w:p>
    <w:p>
      <w:r>
        <w:rPr>
          <w:rFonts w:ascii="宋体" w:hAnsi="宋体" w:eastAsia="宋体"/>
          <w:b w:val="0"/>
          <w:color w:val="000000"/>
          <w:sz w:val="21"/>
        </w:rPr>
        <w:t>ToleranceProfile = f(interaction_kind, ligand_class, structure_confidence, residue_flexibility, pocket_depth, coordinate_noise_level)。</w:t>
      </w:r>
    </w:p>
    <w:p>
      <w:pPr>
        <w:pStyle w:val="ListBullet"/>
      </w:pPr>
      <w:r>
        <w:rPr>
          <w:rFonts w:ascii="宋体" w:hAnsi="宋体" w:eastAsia="宋体"/>
          <w:color w:val="000000"/>
          <w:sz w:val="21"/>
        </w:rPr>
        <w:t>hydrogen bond 的角度容差应比 hydrophobic contact 更严格。</w:t>
      </w:r>
    </w:p>
    <w:p>
      <w:pPr>
        <w:pStyle w:val="ListBullet"/>
      </w:pPr>
      <w:r>
        <w:rPr>
          <w:rFonts w:ascii="宋体" w:hAnsi="宋体" w:eastAsia="宋体"/>
          <w:color w:val="000000"/>
          <w:sz w:val="21"/>
        </w:rPr>
        <w:t>金属配位必须使用专门的距离和角度规则，不能套用普通氢键容差。</w:t>
      </w:r>
    </w:p>
    <w:p>
      <w:pPr>
        <w:pStyle w:val="ListBullet"/>
      </w:pPr>
      <w:r>
        <w:rPr>
          <w:rFonts w:ascii="宋体" w:hAnsi="宋体" w:eastAsia="宋体"/>
          <w:color w:val="000000"/>
          <w:sz w:val="21"/>
        </w:rPr>
        <w:t>预测结构置信度低时允许适度放宽点位容差，但必须提高后续 rotamer repair 和 L2 要求。</w:t>
      </w:r>
    </w:p>
    <w:p>
      <w:pPr>
        <w:pStyle w:val="ListBullet"/>
      </w:pPr>
      <w:r>
        <w:rPr>
          <w:rFonts w:ascii="宋体" w:hAnsi="宋体" w:eastAsia="宋体"/>
          <w:color w:val="000000"/>
          <w:sz w:val="21"/>
        </w:rPr>
        <w:t>浅表 patch 的遮挡惩罚和可及面积阈值应高于深 pocket。</w:t>
      </w:r>
    </w:p>
    <w:p>
      <w:pPr>
        <w:pStyle w:val="Heading2"/>
      </w:pPr>
      <w:r>
        <w:rPr>
          <w:rFonts w:ascii="宋体" w:hAnsi="宋体" w:eastAsia="宋体"/>
          <w:b/>
          <w:color w:val="000000"/>
          <w:sz w:val="26"/>
        </w:rPr>
        <w:t>6.3 校准目标</w:t>
      </w:r>
    </w:p>
    <w:p>
      <w:r>
        <w:rPr>
          <w:rFonts w:ascii="宋体" w:hAnsi="宋体" w:eastAsia="宋体"/>
          <w:b w:val="0"/>
          <w:color w:val="000000"/>
          <w:sz w:val="21"/>
        </w:rPr>
        <w:t>gls-calibrate-patch-tolerance 应输出 recall、hard-negative rejection、bucket occupancy、peak memory、triplet count、runtime 和 OOM risk。默认目标不是最大化召回，而是在可控内存和误报率下保持 fixture recall。</w:t>
      </w:r>
    </w:p>
    <w:p>
      <w:r>
        <w:rPr>
          <w:rFonts w:ascii="宋体" w:hAnsi="宋体" w:eastAsia="宋体"/>
          <w:b w:val="0"/>
          <w:color w:val="000000"/>
          <w:sz w:val="21"/>
        </w:rPr>
        <w:t>运行时采用 coarse-to-fine 策略：先用较窄容差查找；若候选优先级高且无匹配，再逐级扩大容差。任何扩容都必须受 max_bucket_occupancy、max_seed_triplets 和 max_memory_mb 限制。</w:t>
      </w:r>
    </w:p>
    <w:p>
      <w:r>
        <w:br w:type="page"/>
      </w:r>
    </w:p>
    <w:p>
      <w:pPr>
        <w:pStyle w:val="Heading1"/>
      </w:pPr>
      <w:r>
        <w:rPr>
          <w:rFonts w:ascii="宋体" w:hAnsi="宋体" w:eastAsia="宋体"/>
          <w:b/>
          <w:color w:val="000000"/>
          <w:sz w:val="32"/>
        </w:rPr>
        <w:t>七、Codex 必须实现的新增模块</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rFonts w:ascii="宋体" w:hAnsi="宋体" w:eastAsia="宋体"/>
                <w:b/>
                <w:color w:val="000000"/>
                <w:sz w:val="18"/>
              </w:rPr>
              <w:t>模块</w:t>
            </w:r>
          </w:p>
        </w:tc>
        <w:tc>
          <w:tcPr>
            <w:tcW w:type="dxa" w:w="6768"/>
            <w:vAlign w:val="center"/>
            <w:shd w:fill="D9EAF7"/>
          </w:tcPr>
          <w:p>
            <w:r/>
            <w:r>
              <w:rPr>
                <w:rFonts w:ascii="宋体" w:hAnsi="宋体" w:eastAsia="宋体"/>
                <w:b/>
                <w:color w:val="000000"/>
                <w:sz w:val="18"/>
              </w:rPr>
              <w:t>职责</w:t>
            </w:r>
          </w:p>
        </w:tc>
      </w:tr>
      <w:tr>
        <w:tc>
          <w:tcPr>
            <w:tcW w:type="dxa" w:w="2880"/>
            <w:vAlign w:val="center"/>
          </w:tcPr>
          <w:p>
            <w:r/>
            <w:r>
              <w:rPr>
                <w:rFonts w:ascii="宋体" w:hAnsi="宋体" w:eastAsia="宋体"/>
                <w:b w:val="0"/>
                <w:color w:val="000000"/>
                <w:sz w:val="18"/>
              </w:rPr>
              <w:t>gls-shortcircuit</w:t>
            </w:r>
          </w:p>
        </w:tc>
        <w:tc>
          <w:tcPr>
            <w:tcW w:type="dxa" w:w="6768"/>
            <w:vAlign w:val="center"/>
          </w:tcPr>
          <w:p>
            <w:r/>
            <w:r>
              <w:rPr>
                <w:rFonts w:ascii="宋体" w:hAnsi="宋体" w:eastAsia="宋体"/>
                <w:b w:val="0"/>
                <w:color w:val="000000"/>
                <w:sz w:val="18"/>
              </w:rPr>
              <w:t>低成本规则、统计显著性、去重聚类和预算裁剪。</w:t>
            </w:r>
          </w:p>
        </w:tc>
      </w:tr>
      <w:tr>
        <w:tc>
          <w:tcPr>
            <w:tcW w:type="dxa" w:w="2880"/>
            <w:vAlign w:val="center"/>
          </w:tcPr>
          <w:p>
            <w:r/>
            <w:r>
              <w:rPr>
                <w:rFonts w:ascii="宋体" w:hAnsi="宋体" w:eastAsia="宋体"/>
                <w:b w:val="0"/>
                <w:color w:val="000000"/>
                <w:sz w:val="18"/>
              </w:rPr>
              <w:t>gls-plm-gate</w:t>
            </w:r>
          </w:p>
        </w:tc>
        <w:tc>
          <w:tcPr>
            <w:tcW w:type="dxa" w:w="6768"/>
            <w:vAlign w:val="center"/>
          </w:tcPr>
          <w:p>
            <w:r/>
            <w:r>
              <w:rPr>
                <w:rFonts w:ascii="宋体" w:hAnsi="宋体" w:eastAsia="宋体"/>
                <w:b w:val="0"/>
                <w:color w:val="000000"/>
                <w:sz w:val="18"/>
              </w:rPr>
              <w:t>只对 short-circuit 后候选调用 pLM embedding，并管理缓存与预算。</w:t>
            </w:r>
          </w:p>
        </w:tc>
      </w:tr>
      <w:tr>
        <w:tc>
          <w:tcPr>
            <w:tcW w:type="dxa" w:w="2880"/>
            <w:vAlign w:val="center"/>
          </w:tcPr>
          <w:p>
            <w:r/>
            <w:r>
              <w:rPr>
                <w:rFonts w:ascii="宋体" w:hAnsi="宋体" w:eastAsia="宋体"/>
                <w:b w:val="0"/>
                <w:color w:val="000000"/>
                <w:sz w:val="18"/>
              </w:rPr>
              <w:t>gls-fixtures</w:t>
            </w:r>
          </w:p>
        </w:tc>
        <w:tc>
          <w:tcPr>
            <w:tcW w:type="dxa" w:w="6768"/>
            <w:vAlign w:val="center"/>
          </w:tcPr>
          <w:p>
            <w:r/>
            <w:r>
              <w:rPr>
                <w:rFonts w:ascii="宋体" w:hAnsi="宋体" w:eastAsia="宋体"/>
                <w:b w:val="0"/>
                <w:color w:val="000000"/>
                <w:sz w:val="18"/>
              </w:rPr>
              <w:t>管理已知复合物 fixture、负例、扰动结构和校准 split。</w:t>
            </w:r>
          </w:p>
        </w:tc>
      </w:tr>
      <w:tr>
        <w:tc>
          <w:tcPr>
            <w:tcW w:type="dxa" w:w="2880"/>
            <w:vAlign w:val="center"/>
          </w:tcPr>
          <w:p>
            <w:r/>
            <w:r>
              <w:rPr>
                <w:rFonts w:ascii="宋体" w:hAnsi="宋体" w:eastAsia="宋体"/>
                <w:b w:val="0"/>
                <w:color w:val="000000"/>
                <w:sz w:val="18"/>
              </w:rPr>
              <w:t>gls-tolerance-calib</w:t>
            </w:r>
          </w:p>
        </w:tc>
        <w:tc>
          <w:tcPr>
            <w:tcW w:type="dxa" w:w="6768"/>
            <w:vAlign w:val="center"/>
          </w:tcPr>
          <w:p>
            <w:r/>
            <w:r>
              <w:rPr>
                <w:rFonts w:ascii="宋体" w:hAnsi="宋体" w:eastAsia="宋体"/>
                <w:b w:val="0"/>
                <w:color w:val="000000"/>
                <w:sz w:val="18"/>
              </w:rPr>
              <w:t>离线标定容差，生成 ToleranceProfile。</w:t>
            </w:r>
          </w:p>
        </w:tc>
      </w:tr>
      <w:tr>
        <w:tc>
          <w:tcPr>
            <w:tcW w:type="dxa" w:w="2880"/>
            <w:vAlign w:val="center"/>
          </w:tcPr>
          <w:p>
            <w:r/>
            <w:r>
              <w:rPr>
                <w:rFonts w:ascii="宋体" w:hAnsi="宋体" w:eastAsia="宋体"/>
                <w:b w:val="0"/>
                <w:color w:val="000000"/>
                <w:sz w:val="18"/>
              </w:rPr>
              <w:t>gls-patch-realizer</w:t>
            </w:r>
          </w:p>
        </w:tc>
        <w:tc>
          <w:tcPr>
            <w:tcW w:type="dxa" w:w="6768"/>
            <w:vAlign w:val="center"/>
          </w:tcPr>
          <w:p>
            <w:r/>
            <w:r>
              <w:rPr>
                <w:rFonts w:ascii="宋体" w:hAnsi="宋体" w:eastAsia="宋体"/>
                <w:b w:val="0"/>
                <w:color w:val="000000"/>
                <w:sz w:val="18"/>
              </w:rPr>
              <w:t>使用 ToleranceProfile 执行 ICG/CPG 匹配。</w:t>
            </w:r>
          </w:p>
        </w:tc>
      </w:tr>
      <w:tr>
        <w:tc>
          <w:tcPr>
            <w:tcW w:type="dxa" w:w="2880"/>
            <w:vAlign w:val="center"/>
          </w:tcPr>
          <w:p>
            <w:r/>
            <w:r>
              <w:rPr>
                <w:rFonts w:ascii="宋体" w:hAnsi="宋体" w:eastAsia="宋体"/>
                <w:b w:val="0"/>
                <w:color w:val="000000"/>
                <w:sz w:val="18"/>
              </w:rPr>
              <w:t>gls-geometry-bench</w:t>
            </w:r>
          </w:p>
        </w:tc>
        <w:tc>
          <w:tcPr>
            <w:tcW w:type="dxa" w:w="6768"/>
            <w:vAlign w:val="center"/>
          </w:tcPr>
          <w:p>
            <w:r/>
            <w:r>
              <w:rPr>
                <w:rFonts w:ascii="宋体" w:hAnsi="宋体" w:eastAsia="宋体"/>
                <w:b w:val="0"/>
                <w:color w:val="000000"/>
                <w:sz w:val="18"/>
              </w:rPr>
              <w:t>输出几何哈希桶占用、内存、seed triplet 规模和召回曲线。</w:t>
            </w:r>
          </w:p>
        </w:tc>
      </w:tr>
    </w:tbl>
    <w:p>
      <w:pPr>
        <w:pStyle w:val="Heading1"/>
      </w:pPr>
      <w:r>
        <w:rPr>
          <w:rFonts w:ascii="宋体" w:hAnsi="宋体" w:eastAsia="宋体"/>
          <w:b/>
          <w:color w:val="000000"/>
          <w:sz w:val="32"/>
        </w:rPr>
        <w:t>八、MVP 验收标准 V1.6</w:t>
      </w:r>
    </w:p>
    <w:p>
      <w:pPr>
        <w:pStyle w:val="ListNumber"/>
      </w:pPr>
      <w:r>
        <w:rPr>
          <w:rFonts w:ascii="宋体" w:hAnsi="宋体" w:eastAsia="宋体"/>
          <w:color w:val="000000"/>
          <w:sz w:val="21"/>
        </w:rPr>
        <w:t>L1 候选不得直接进入 pLM、fold-worker 或 docking。</w:t>
      </w:r>
    </w:p>
    <w:p>
      <w:pPr>
        <w:pStyle w:val="ListNumber"/>
      </w:pPr>
      <w:r>
        <w:rPr>
          <w:rFonts w:ascii="宋体" w:hAnsi="宋体" w:eastAsia="宋体"/>
          <w:color w:val="000000"/>
          <w:sz w:val="21"/>
        </w:rPr>
        <w:t>L1.20 必须证明候选量至少压缩到配置预算内，并输出每个候选的短路决策原因。</w:t>
      </w:r>
    </w:p>
    <w:p>
      <w:pPr>
        <w:pStyle w:val="ListNumber"/>
      </w:pPr>
      <w:r>
        <w:rPr>
          <w:rFonts w:ascii="宋体" w:hAnsi="宋体" w:eastAsia="宋体"/>
          <w:color w:val="000000"/>
          <w:sz w:val="21"/>
        </w:rPr>
        <w:t>pLM 调用数必须小于 L1 候选数，并可通过 max_plm_candidates_per_shard 强制限制。</w:t>
      </w:r>
    </w:p>
    <w:p>
      <w:pPr>
        <w:pStyle w:val="ListNumber"/>
      </w:pPr>
      <w:r>
        <w:rPr>
          <w:rFonts w:ascii="宋体" w:hAnsi="宋体" w:eastAsia="宋体"/>
          <w:color w:val="000000"/>
          <w:sz w:val="21"/>
        </w:rPr>
        <w:t>所有 pLM embedding 必须可缓存、可复用、可版本追踪。</w:t>
      </w:r>
    </w:p>
    <w:p>
      <w:pPr>
        <w:pStyle w:val="ListNumber"/>
      </w:pPr>
      <w:r>
        <w:rPr>
          <w:rFonts w:ascii="宋体" w:hAnsi="宋体" w:eastAsia="宋体"/>
          <w:color w:val="000000"/>
          <w:sz w:val="21"/>
        </w:rPr>
        <w:t>gls-patch-realizer 不允许使用未校准的 magic tolerance。</w:t>
      </w:r>
    </w:p>
    <w:p>
      <w:pPr>
        <w:pStyle w:val="ListNumber"/>
      </w:pPr>
      <w:r>
        <w:rPr>
          <w:rFonts w:ascii="宋体" w:hAnsi="宋体" w:eastAsia="宋体"/>
          <w:color w:val="000000"/>
          <w:sz w:val="21"/>
        </w:rPr>
        <w:t>ToleranceProfile 必须由 fixture calibration 生成，并带版本、数据集、参数和性能指标。</w:t>
      </w:r>
    </w:p>
    <w:p>
      <w:pPr>
        <w:pStyle w:val="ListNumber"/>
      </w:pPr>
      <w:r>
        <w:rPr>
          <w:rFonts w:ascii="宋体" w:hAnsi="宋体" w:eastAsia="宋体"/>
          <w:color w:val="000000"/>
          <w:sz w:val="21"/>
        </w:rPr>
        <w:t>几何哈希必须有 bucket occupancy 上限和内存保护。</w:t>
      </w:r>
    </w:p>
    <w:p>
      <w:pPr>
        <w:pStyle w:val="ListNumber"/>
      </w:pPr>
      <w:r>
        <w:rPr>
          <w:rFonts w:ascii="宋体" w:hAnsi="宋体" w:eastAsia="宋体"/>
          <w:color w:val="000000"/>
          <w:sz w:val="21"/>
        </w:rPr>
        <w:t>正例 fixture 应能恢复已知 patch；hard negative 应被拒绝。</w:t>
      </w:r>
    </w:p>
    <w:p>
      <w:pPr>
        <w:pStyle w:val="ListNumber"/>
      </w:pPr>
      <w:r>
        <w:rPr>
          <w:rFonts w:ascii="宋体" w:hAnsi="宋体" w:eastAsia="宋体"/>
          <w:color w:val="000000"/>
          <w:sz w:val="21"/>
        </w:rPr>
        <w:t>IDP/IDR 仍只输出趋势，不输出宏观自由能。</w:t>
      </w:r>
    </w:p>
    <w:p>
      <w:pPr>
        <w:pStyle w:val="ListNumber"/>
      </w:pPr>
      <w:r>
        <w:rPr>
          <w:rFonts w:ascii="宋体" w:hAnsi="宋体" w:eastAsia="宋体"/>
          <w:color w:val="000000"/>
          <w:sz w:val="21"/>
        </w:rPr>
        <w:t>端到端报告必须展示每个阶段的候选保留率、主要淘汰原因和资源消耗。</w:t>
      </w:r>
    </w:p>
    <w:p>
      <w:pPr>
        <w:pStyle w:val="Heading1"/>
      </w:pPr>
      <w:r>
        <w:rPr>
          <w:rFonts w:ascii="宋体" w:hAnsi="宋体" w:eastAsia="宋体"/>
          <w:b/>
          <w:color w:val="000000"/>
          <w:sz w:val="32"/>
        </w:rPr>
        <w:t>九、可参考开源库与工具</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rFonts w:ascii="宋体" w:hAnsi="宋体" w:eastAsia="宋体"/>
                <w:b/>
                <w:color w:val="000000"/>
                <w:sz w:val="18"/>
              </w:rPr>
              <w:t>类别</w:t>
            </w:r>
          </w:p>
        </w:tc>
        <w:tc>
          <w:tcPr>
            <w:tcW w:type="dxa" w:w="7200"/>
            <w:vAlign w:val="center"/>
            <w:shd w:fill="D9EAF7"/>
          </w:tcPr>
          <w:p>
            <w:r/>
            <w:r>
              <w:rPr>
                <w:rFonts w:ascii="宋体" w:hAnsi="宋体" w:eastAsia="宋体"/>
                <w:b/>
                <w:color w:val="000000"/>
                <w:sz w:val="18"/>
              </w:rPr>
              <w:t>工具</w:t>
            </w:r>
          </w:p>
        </w:tc>
      </w:tr>
      <w:tr>
        <w:tc>
          <w:tcPr>
            <w:tcW w:type="dxa" w:w="2448"/>
            <w:vAlign w:val="center"/>
          </w:tcPr>
          <w:p>
            <w:r/>
            <w:r>
              <w:rPr>
                <w:rFonts w:ascii="宋体" w:hAnsi="宋体" w:eastAsia="宋体"/>
                <w:b w:val="0"/>
                <w:color w:val="000000"/>
                <w:sz w:val="18"/>
              </w:rPr>
              <w:t>Rust 核心</w:t>
            </w:r>
          </w:p>
        </w:tc>
        <w:tc>
          <w:tcPr>
            <w:tcW w:type="dxa" w:w="7200"/>
            <w:vAlign w:val="center"/>
          </w:tcPr>
          <w:p>
            <w:r/>
            <w:r>
              <w:rPr>
                <w:rFonts w:ascii="宋体" w:hAnsi="宋体" w:eastAsia="宋体"/>
                <w:b w:val="0"/>
                <w:color w:val="000000"/>
                <w:sz w:val="18"/>
              </w:rPr>
              <w:t>rust-bio, noodles, needletail, aho-corasick, rayon, arrow-rs, datafusion, serde, tracing</w:t>
            </w:r>
          </w:p>
        </w:tc>
      </w:tr>
      <w:tr>
        <w:tc>
          <w:tcPr>
            <w:tcW w:type="dxa" w:w="2448"/>
            <w:vAlign w:val="center"/>
          </w:tcPr>
          <w:p>
            <w:r/>
            <w:r>
              <w:rPr>
                <w:rFonts w:ascii="宋体" w:hAnsi="宋体" w:eastAsia="宋体"/>
                <w:b w:val="0"/>
                <w:color w:val="000000"/>
                <w:sz w:val="18"/>
              </w:rPr>
              <w:t>工作流</w:t>
            </w:r>
          </w:p>
        </w:tc>
        <w:tc>
          <w:tcPr>
            <w:tcW w:type="dxa" w:w="7200"/>
            <w:vAlign w:val="center"/>
          </w:tcPr>
          <w:p>
            <w:r/>
            <w:r>
              <w:rPr>
                <w:rFonts w:ascii="宋体" w:hAnsi="宋体" w:eastAsia="宋体"/>
                <w:b w:val="0"/>
                <w:color w:val="000000"/>
                <w:sz w:val="18"/>
              </w:rPr>
              <w:t>Nextflow, nf-core style modules</w:t>
            </w:r>
          </w:p>
        </w:tc>
      </w:tr>
      <w:tr>
        <w:tc>
          <w:tcPr>
            <w:tcW w:type="dxa" w:w="2448"/>
            <w:vAlign w:val="center"/>
          </w:tcPr>
          <w:p>
            <w:r/>
            <w:r>
              <w:rPr>
                <w:rFonts w:ascii="宋体" w:hAnsi="宋体" w:eastAsia="宋体"/>
                <w:b w:val="0"/>
                <w:color w:val="000000"/>
                <w:sz w:val="18"/>
              </w:rPr>
              <w:t>化学与配体</w:t>
            </w:r>
          </w:p>
        </w:tc>
        <w:tc>
          <w:tcPr>
            <w:tcW w:type="dxa" w:w="7200"/>
            <w:vAlign w:val="center"/>
          </w:tcPr>
          <w:p>
            <w:r/>
            <w:r>
              <w:rPr>
                <w:rFonts w:ascii="宋体" w:hAnsi="宋体" w:eastAsia="宋体"/>
                <w:b w:val="0"/>
                <w:color w:val="000000"/>
                <w:sz w:val="18"/>
              </w:rPr>
              <w:t>RDKit, Open Babel, xTB, CREST, AutoDock Vina</w:t>
            </w:r>
          </w:p>
        </w:tc>
      </w:tr>
      <w:tr>
        <w:tc>
          <w:tcPr>
            <w:tcW w:type="dxa" w:w="2448"/>
            <w:vAlign w:val="center"/>
          </w:tcPr>
          <w:p>
            <w:r/>
            <w:r>
              <w:rPr>
                <w:rFonts w:ascii="宋体" w:hAnsi="宋体" w:eastAsia="宋体"/>
                <w:b w:val="0"/>
                <w:color w:val="000000"/>
                <w:sz w:val="18"/>
              </w:rPr>
              <w:t>结构与口袋</w:t>
            </w:r>
          </w:p>
        </w:tc>
        <w:tc>
          <w:tcPr>
            <w:tcW w:type="dxa" w:w="7200"/>
            <w:vAlign w:val="center"/>
          </w:tcPr>
          <w:p>
            <w:r/>
            <w:r>
              <w:rPr>
                <w:rFonts w:ascii="宋体" w:hAnsi="宋体" w:eastAsia="宋体"/>
                <w:b w:val="0"/>
                <w:color w:val="000000"/>
                <w:sz w:val="18"/>
              </w:rPr>
              <w:t>ESMFold/ESM, ColabFold, P2Rank, fpocket, Foldseek, Biopython, MDAnalysis</w:t>
            </w:r>
          </w:p>
        </w:tc>
      </w:tr>
      <w:tr>
        <w:tc>
          <w:tcPr>
            <w:tcW w:type="dxa" w:w="2448"/>
            <w:vAlign w:val="center"/>
          </w:tcPr>
          <w:p>
            <w:r/>
            <w:r>
              <w:rPr>
                <w:rFonts w:ascii="宋体" w:hAnsi="宋体" w:eastAsia="宋体"/>
                <w:b w:val="0"/>
                <w:color w:val="000000"/>
                <w:sz w:val="18"/>
              </w:rPr>
              <w:t>几何与索引</w:t>
            </w:r>
          </w:p>
        </w:tc>
        <w:tc>
          <w:tcPr>
            <w:tcW w:type="dxa" w:w="7200"/>
            <w:vAlign w:val="center"/>
          </w:tcPr>
          <w:p>
            <w:r/>
            <w:r>
              <w:rPr>
                <w:rFonts w:ascii="宋体" w:hAnsi="宋体" w:eastAsia="宋体"/>
                <w:b w:val="0"/>
                <w:color w:val="000000"/>
                <w:sz w:val="18"/>
              </w:rPr>
              <w:t>kiddo/kd-tree, nalgebra, faiss 或 hnswlib adapter, custom geometric hashing</w:t>
            </w:r>
          </w:p>
        </w:tc>
      </w:tr>
      <w:tr>
        <w:tc>
          <w:tcPr>
            <w:tcW w:type="dxa" w:w="2448"/>
            <w:vAlign w:val="center"/>
          </w:tcPr>
          <w:p>
            <w:r/>
            <w:r>
              <w:rPr>
                <w:rFonts w:ascii="宋体" w:hAnsi="宋体" w:eastAsia="宋体"/>
                <w:b w:val="0"/>
                <w:color w:val="000000"/>
                <w:sz w:val="18"/>
              </w:rPr>
              <w:t>统计与 motif</w:t>
            </w:r>
          </w:p>
        </w:tc>
        <w:tc>
          <w:tcPr>
            <w:tcW w:type="dxa" w:w="7200"/>
            <w:vAlign w:val="center"/>
          </w:tcPr>
          <w:p>
            <w:r/>
            <w:r>
              <w:rPr>
                <w:rFonts w:ascii="宋体" w:hAnsi="宋体" w:eastAsia="宋体"/>
                <w:b w:val="0"/>
                <w:color w:val="000000"/>
                <w:sz w:val="18"/>
              </w:rPr>
              <w:t>HMMER3, FIMO/MEME suite 思路, custom FDR/background module</w:t>
            </w:r>
          </w:p>
        </w:tc>
      </w:tr>
      <w:tr>
        <w:tc>
          <w:tcPr>
            <w:tcW w:type="dxa" w:w="2448"/>
            <w:vAlign w:val="center"/>
          </w:tcPr>
          <w:p>
            <w:r/>
            <w:r>
              <w:rPr>
                <w:rFonts w:ascii="宋体" w:hAnsi="宋体" w:eastAsia="宋体"/>
                <w:b w:val="0"/>
                <w:color w:val="000000"/>
                <w:sz w:val="18"/>
              </w:rPr>
              <w:t>验证计算</w:t>
            </w:r>
          </w:p>
        </w:tc>
        <w:tc>
          <w:tcPr>
            <w:tcW w:type="dxa" w:w="7200"/>
            <w:vAlign w:val="center"/>
          </w:tcPr>
          <w:p>
            <w:r/>
            <w:r>
              <w:rPr>
                <w:rFonts w:ascii="宋体" w:hAnsi="宋体" w:eastAsia="宋体"/>
                <w:b w:val="0"/>
                <w:color w:val="000000"/>
                <w:sz w:val="18"/>
              </w:rPr>
              <w:t>OpenMM, OpenFE, GROMACS, AmberTools, ORCA, Psi4</w:t>
            </w:r>
          </w:p>
        </w:tc>
      </w:tr>
    </w:tbl>
    <w:p>
      <w:pPr>
        <w:pStyle w:val="Heading1"/>
      </w:pPr>
      <w:r>
        <w:rPr>
          <w:rFonts w:ascii="宋体" w:hAnsi="宋体" w:eastAsia="宋体"/>
          <w:b/>
          <w:color w:val="000000"/>
          <w:sz w:val="32"/>
        </w:rPr>
        <w:t>十、参考依据</w:t>
      </w:r>
    </w:p>
    <w:p>
      <w:r>
        <w:rPr>
          <w:rFonts w:ascii="宋体" w:hAnsi="宋体" w:eastAsia="宋体"/>
          <w:b w:val="0"/>
          <w:color w:val="000000"/>
          <w:sz w:val="18"/>
        </w:rPr>
        <w:t>Lin Z. et al. Evolutionary-scale prediction of atomic-level protein structure with a language model. Science, 2023. https://www.science.org/doi/10.1126/science.ade2574</w:t>
      </w:r>
    </w:p>
    <w:p>
      <w:r>
        <w:rPr>
          <w:rFonts w:ascii="宋体" w:hAnsi="宋体" w:eastAsia="宋体"/>
          <w:b w:val="0"/>
          <w:color w:val="000000"/>
          <w:sz w:val="18"/>
        </w:rPr>
        <w:t>Aho A. V. and Corasick M. J. Efficient string matching: an aid to bibliographic search. Communications of the ACM, 1975. https://dl.acm.org/doi/10.1145/360825.360855</w:t>
      </w:r>
    </w:p>
    <w:p>
      <w:r>
        <w:rPr>
          <w:rFonts w:ascii="宋体" w:hAnsi="宋体" w:eastAsia="宋体"/>
          <w:b w:val="0"/>
          <w:color w:val="000000"/>
          <w:sz w:val="18"/>
        </w:rPr>
        <w:t>Krivak R. and Hoksza D. P2Rank: machine learning based tool for rapid and accurate prediction of ligand binding sites from protein structure. Journal of Cheminformatics, 2018. https://pmc.ncbi.nlm.nih.gov/articles/PMC6091426/</w:t>
      </w:r>
    </w:p>
    <w:p>
      <w:r>
        <w:rPr>
          <w:rFonts w:ascii="宋体" w:hAnsi="宋体" w:eastAsia="宋体"/>
          <w:b w:val="0"/>
          <w:color w:val="000000"/>
          <w:sz w:val="18"/>
        </w:rPr>
        <w:t>Le Guilloux V. et al. Fpocket: an open source platform for ligand pocket detection. BMC Bioinformatics, 2009. https://pubmed.ncbi.nlm.nih.gov/19486540/</w:t>
      </w:r>
    </w:p>
    <w:p>
      <w:r>
        <w:rPr>
          <w:rFonts w:ascii="宋体" w:hAnsi="宋体" w:eastAsia="宋体"/>
          <w:b w:val="0"/>
          <w:color w:val="000000"/>
          <w:sz w:val="18"/>
        </w:rPr>
        <w:t>Naderi M. et al. Binding site matching in rational drug design. Protein Engineering, Design and Selection, 2019. https://pmc.ncbi.nlm.nih.gov/articles/PMC6954434/</w:t>
      </w:r>
    </w:p>
    <w:p>
      <w:r>
        <w:rPr>
          <w:rFonts w:ascii="宋体" w:hAnsi="宋体" w:eastAsia="宋体"/>
          <w:b w:val="0"/>
          <w:color w:val="000000"/>
          <w:sz w:val="18"/>
        </w:rPr>
        <w:t>Liu Z. et al. PDB-wide collection of binding data: current status of the PDBbind database. Bioinformatics, 2015. https://academic.oup.com/bioinformatics/article/31/3/405/2365195</w:t>
      </w:r>
    </w:p>
    <w:p>
      <w:r>
        <w:rPr>
          <w:rFonts w:ascii="宋体" w:hAnsi="宋体" w:eastAsia="宋体"/>
          <w:b w:val="0"/>
          <w:color w:val="000000"/>
          <w:sz w:val="18"/>
        </w:rPr>
        <w:t>Benson M. L. et al. Binding MOAD, a high-quality protein-ligand database. Nucleic Acids Research, 2008. https://academic.oup.com/nar/article/36/suppl_1/D674/2507695</w:t>
      </w:r>
    </w:p>
    <w:p>
      <w:r>
        <w:rPr>
          <w:rFonts w:ascii="宋体" w:hAnsi="宋体" w:eastAsia="宋体"/>
          <w:b w:val="0"/>
          <w:color w:val="000000"/>
          <w:sz w:val="18"/>
        </w:rPr>
        <w:t>Di Tommaso P. et al. Nextflow enables reproducible computational workflows. Nature Biotechnology, 2017. https://www.nature.com/articles/nbt.3820</w:t>
      </w:r>
    </w:p>
    <w:p>
      <w:r>
        <w:rPr>
          <w:rFonts w:ascii="宋体" w:hAnsi="宋体" w:eastAsia="宋体"/>
          <w:b w:val="0"/>
          <w:color w:val="000000"/>
          <w:sz w:val="18"/>
        </w:rPr>
        <w:t>Apache Arrow Documentation: Streaming, Serialization, and IPC. https://arrow.apache.org/docs/format/Intro.html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宋体" w:hAnsi="宋体" w:eastAsia="宋体"/>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