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0E4D92"/>
          <w:sz w:val="48"/>
        </w:rPr>
        <w:t>RESEARCHNEXUS AI</w:t>
        <w:br/>
        <w:t>PROJECT PRESENTATION PREPARATION &amp; COMPLETE STUDY GUIDE</w:t>
      </w:r>
    </w:p>
    <w:p>
      <w:pPr>
        <w:spacing w:before="0" w:after="320"/>
        <w:jc w:val="center"/>
      </w:pPr>
      <w:r>
        <w:rPr>
          <w:rFonts w:ascii="Calibri" w:hAnsi="Calibri"/>
          <w:i/>
          <w:color w:val="566573"/>
          <w:sz w:val="26"/>
        </w:rPr>
        <w:t>Understanding the Problem, System, Architecture, Implementation, Live Demo, Evaluation and Future Direction</w:t>
      </w:r>
    </w:p>
    <w:p>
      <w:pPr>
        <w:spacing w:before="160" w:after="480"/>
        <w:jc w:val="center"/>
      </w:pPr>
      <w:r>
        <w:rPr>
          <w:rFonts w:ascii="Calibri" w:hAnsi="Calibri"/>
          <w:b/>
          <w:color w:val="1B4F72"/>
          <w:sz w:val="22"/>
        </w:rPr>
        <w:t>Prepared for Project Presentation – Tuesday</w:t>
        <w:br/>
        <w:t>Comprehensive Defense, Technical Architecture &amp; Live Demo Handbook</w:t>
      </w:r>
    </w:p>
    <w:tbl>
      <w:tblPr>
        <w:tblW w:type="auto" w:w="0"/>
        <w:jc w:val="center"/>
        <w:tblLayout w:type="fixed"/>
        <w:tblLook w:firstColumn="1" w:firstRow="1" w:lastColumn="0" w:lastRow="0" w:noHBand="0" w:noVBand="1" w:val="04A0"/>
      </w:tblPr>
      <w:tblGrid>
        <w:gridCol w:w="9792"/>
      </w:tblGrid>
      <w:tr>
        <w:tc>
          <w:tcPr>
            <w:tcW w:type="dxa" w:w="10080"/>
            <w:shd w:fill="EAF2F8"/>
            <w:tcBorders>
              <w:left w:val="single" w:sz="24" w:space="0" w:color="2471A3"/>
              <w:top w:val="none"/>
              <w:right w:val="none"/>
              <w:bottom w:val="none"/>
            </w:tcBorders>
          </w:tcPr>
          <w:p>
            <w:pPr>
              <w:spacing w:before="80" w:after="40"/>
            </w:pPr>
            <w:r>
              <w:rPr>
                <w:rFonts w:ascii="Calibri" w:hAnsi="Calibri"/>
                <w:b/>
                <w:color w:val="2471A3"/>
                <w:sz w:val="21"/>
              </w:rPr>
              <w:t>★ HOW TO USE THIS PREPARATION GUIDE</w:t>
              <w:br/>
            </w:r>
          </w:p>
          <w:p>
            <w:pPr>
              <w:spacing w:before="0" w:after="80"/>
            </w:pPr>
            <w:r>
              <w:rPr>
                <w:rFonts w:ascii="Calibri" w:hAnsi="Calibri"/>
                <w:color w:val="2C3E50"/>
                <w:sz w:val="20"/>
              </w:rPr>
              <w:t>This handbook is NOT an abstract paper or boilerplate report. It is your conversational, deep-dive project companion. Read it front-to-back before Tuesday: it walks through the exact genesis of ResearchNexus AI, explains every module with concrete analogies and production details, provides verbatim scripts for what to show and say during your live demo, and supplies answers to 40+ examiner questions so you can defend every architectural choice with authority.</w:t>
            </w:r>
          </w:p>
        </w:tc>
      </w:tr>
    </w:tbl>
    <w:p>
      <w:pPr>
        <w:spacing w:before="0" w:after="80"/>
      </w:pPr>
    </w:p>
    <w:p>
      <w:r>
        <w:br w:type="page"/>
      </w:r>
    </w:p>
    <w:p>
      <w:pPr>
        <w:pStyle w:val="Heading1"/>
        <w:keepNext/>
        <w:spacing w:before="280" w:after="120"/>
      </w:pPr>
      <w:r>
        <w:rPr>
          <w:rFonts w:ascii="Calibri" w:hAnsi="Calibri"/>
          <w:b/>
          <w:color w:val="0E4D92"/>
          <w:sz w:val="32"/>
        </w:rPr>
        <w:t>1. The Story of the Project: Why and How We Built ResearchNexus AI</w:t>
      </w:r>
    </w:p>
    <w:p>
      <w:pPr>
        <w:spacing w:before="0" w:after="80" w:line="276" w:lineRule="auto"/>
      </w:pPr>
      <w:r>
        <w:rPr>
          <w:rFonts w:ascii="Calibri" w:hAnsi="Calibri"/>
          <w:color w:val="2C3E50"/>
          <w:sz w:val="20"/>
        </w:rPr>
        <w:t>Every academic researcher, graduate student, and R&amp;D engineer faces an exhausting, fractured workflow when starting a new investigation. Typically, your browser contains thirty to forty open tabs across arXiv, Google Scholar, IEEE Xplore, and PubMed. You skim abstracts, try to piece together contradictory experimental baselines, and copy-paste snippets into personal notes or spreadsheets. When generative AI arrived, researchers hoped ChatGPT or Claude could summarize this literature. But general-purpose LLMs immediately hit a critical wall: hallucinations, fabricated citations, and shallow, generic summaries that miss the nuance of experimental setups.</w:t>
      </w:r>
    </w:p>
    <w:p>
      <w:pPr>
        <w:spacing w:before="0" w:after="80" w:line="276" w:lineRule="auto"/>
      </w:pPr>
      <w:r>
        <w:rPr>
          <w:rFonts w:ascii="Calibri" w:hAnsi="Calibri"/>
          <w:color w:val="2C3E50"/>
          <w:sz w:val="20"/>
        </w:rPr>
        <w:t>We asked a fundamental question: Can we build a unified research intelligence platform that feels like an experienced co-investigator? An AI platform that does not just generate plausible text, but anchors every single claim directly into peer-reviewed literature with mathematical verification, cryptographic evidence hashing, and transparent provenance.</w:t>
      </w:r>
    </w:p>
    <w:p>
      <w:pPr>
        <w:spacing w:before="0" w:after="80" w:line="276" w:lineRule="auto"/>
      </w:pPr>
      <w:r>
        <w:rPr>
          <w:rFonts w:ascii="Calibri" w:hAnsi="Calibri"/>
          <w:color w:val="2C3E50"/>
          <w:sz w:val="20"/>
        </w:rPr>
        <w:t>That is how ResearchNexus AI was born. We built it around five core pillars:</w:t>
        <w:br/>
        <w:t>1. Unified Research Discovery: Moving beyond brittle keyword queries with hybrid sparse-dense retrieval.</w:t>
        <w:br/>
        <w:t>2. Evidence-Grounded Scientific Synthesis: A dual-stage verification engine (token-overlap check + natural language inference) that audits every generated sentence before the researcher sees it.</w:t>
        <w:br/>
        <w:t>3. Explainable AI (XAI) &amp; Auditability: Interactive provenance ledgers displaying exact chunk IDs, cosine similarities, and cross-encoder reranking scores.</w:t>
        <w:br/>
        <w:t>4. Multi-Paper Matrix Comparison: Side-by-side analysis across 10 structured scientific dimensions (methodology, datasets, metrics, compute limits) with zero cross-paper context contamination.</w:t>
        <w:br/>
        <w:t>5. Self-Contained Document-Only Intelligence: When analyzing an unpublished PDF manuscript, the system enforces a strict isolated vector collection with zero fallback leakage to the global database.</w:t>
      </w:r>
    </w:p>
    <w:tbl>
      <w:tblPr>
        <w:tblW w:type="auto" w:w="0"/>
        <w:jc w:val="center"/>
        <w:tblLayout w:type="fixed"/>
        <w:tblLook w:firstColumn="1" w:firstRow="1" w:lastColumn="0" w:lastRow="0" w:noHBand="0" w:noVBand="1" w:val="04A0"/>
      </w:tblPr>
      <w:tblGrid>
        <w:gridCol w:w="9792"/>
      </w:tblGrid>
      <w:tr>
        <w:tc>
          <w:tcPr>
            <w:tcW w:type="dxa" w:w="10080"/>
            <w:shd w:fill="FEF9E7"/>
            <w:tcBorders>
              <w:left w:val="single" w:sz="24" w:space="0" w:color="F39C12"/>
              <w:top w:val="none"/>
              <w:right w:val="none"/>
              <w:bottom w:val="none"/>
            </w:tcBorders>
          </w:tcPr>
          <w:p>
            <w:pPr>
              <w:spacing w:before="80" w:after="40"/>
            </w:pPr>
            <w:r>
              <w:rPr>
                <w:rFonts w:ascii="Calibri" w:hAnsi="Calibri"/>
                <w:b/>
                <w:color w:val="F39C12"/>
                <w:sz w:val="21"/>
              </w:rPr>
              <w:t>★ THE PRESENTATION NARRATIVE HOOK</w:t>
              <w:br/>
            </w:r>
          </w:p>
          <w:p>
            <w:pPr>
              <w:spacing w:before="0" w:after="80"/>
            </w:pPr>
            <w:r>
              <w:rPr>
                <w:rFonts w:ascii="Calibri" w:hAnsi="Calibri"/>
                <w:color w:val="2C3E50"/>
                <w:sz w:val="20"/>
              </w:rPr>
              <w:t>When Mam asks: 'What is the core idea of your project?', start with this narrative:</w:t>
              <w:br/>
              <w:t>'Mam, general-purpose LLMs produce fluent literature reviews, but up to 30% of their scientific citations are fabricated or misattributed. In academic research, an ungrounded claim can invalidate months of work. ResearchNexus AI solves this by introducing a closed-loop Verified RAG architecture. We combine hybrid sparse-dense search with cross-encoder neural reranking, extract atomic claims, audit them through a two-stage verification pipeline, and display full provenance in an interactive user workspace.'</w:t>
            </w:r>
          </w:p>
        </w:tc>
      </w:tr>
    </w:tbl>
    <w:p>
      <w:pPr>
        <w:spacing w:before="0" w:after="80"/>
      </w:pPr>
    </w:p>
    <w:p>
      <w:pPr>
        <w:pStyle w:val="Heading1"/>
        <w:keepNext/>
        <w:spacing w:before="280" w:after="120"/>
      </w:pPr>
      <w:r>
        <w:rPr>
          <w:rFonts w:ascii="Calibri" w:hAnsi="Calibri"/>
          <w:b/>
          <w:color w:val="0E4D92"/>
          <w:sz w:val="32"/>
        </w:rPr>
        <w:t>2. The Real-World Problem We Are Solving</w:t>
      </w:r>
    </w:p>
    <w:p>
      <w:pPr>
        <w:spacing w:before="0" w:after="80" w:line="276" w:lineRule="auto"/>
      </w:pPr>
      <w:r>
        <w:rPr>
          <w:rFonts w:ascii="Calibri" w:hAnsi="Calibri"/>
          <w:color w:val="2C3E50"/>
          <w:sz w:val="20"/>
        </w:rPr>
        <w:t>Academic literature exploration suffers from four structural bottlenecks that existing software tools fail to resolve simultaneously:</w:t>
      </w:r>
    </w:p>
    <w:tbl>
      <w:tblPr>
        <w:tblW w:type="auto" w:w="0"/>
        <w:jc w:val="center"/>
        <w:tblLayout w:type="fixed"/>
        <w:tblLook w:firstColumn="1" w:firstRow="1" w:lastColumn="0" w:lastRow="0" w:noHBand="0" w:noVBand="1" w:val="04A0"/>
      </w:tblPr>
      <w:tblGrid>
        <w:gridCol w:w="2592"/>
        <w:gridCol w:w="3600"/>
        <w:gridCol w:w="3600"/>
      </w:tblGrid>
      <w:tr>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Bottleneck</w:t>
            </w:r>
          </w:p>
        </w:tc>
        <w:tc>
          <w:tcPr>
            <w:tcW w:type="dxa" w:w="360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Traditional Limitation</w:t>
            </w:r>
          </w:p>
        </w:tc>
        <w:tc>
          <w:tcPr>
            <w:tcW w:type="dxa" w:w="360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How ResearchNexus AI Solves It</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Literature Fragmentation</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Researchers manually jump between arXiv, IEEE, Scholar, Mendeley, and Notion, losing context between search and synthesis.</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Unified workspace combining discovery, synthesis, comparative matrices, personal library, and document-only analysis.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Keyword Search Blind Spots</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BM25 lexical search misses conceptual synonyms; pure vector search misses exact technical jargon, acronyms, and dataset names.</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Hybrid Search fusing BM25 and 768-dim BGE embeddings via Reciprocal Rank Fusion (RRF k=60), followed by Cross-Encoder neural reranking.</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Generative Hallucinations</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Standard RAG models append retrieved context to prompts, but LLMs frequently generate unsupported extrapolate claims or blend papers.</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Two-stage Claim Verification: Deterministic token overlap (theta=0.80) followed by semantic NLI classification into 4 strict evidentiary states.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Opaque Citation Attribution</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Inline citations like [1] often point to papers that mention the topic tangentially but never state the asserted finding.</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Audit Ledger &amp; Proof Drawer: Every claim maps to exact chunk offsets, chunk SHA-256 hashes, retrieval ranks, and reranking delta scores.</w:t>
            </w:r>
          </w:p>
        </w:tc>
      </w:tr>
    </w:tbl>
    <w:p>
      <w:pPr>
        <w:spacing w:before="0" w:after="80"/>
      </w:pPr>
    </w:p>
    <w:p>
      <w:pPr>
        <w:pStyle w:val="Heading1"/>
        <w:keepNext/>
        <w:spacing w:before="280" w:after="120"/>
      </w:pPr>
      <w:r>
        <w:rPr>
          <w:rFonts w:ascii="Calibri" w:hAnsi="Calibri"/>
          <w:b/>
          <w:color w:val="0E4D92"/>
          <w:sz w:val="32"/>
        </w:rPr>
        <w:t>3. What is ResearchNexus AI? System Overview &amp; Actual Tech Stack</w:t>
      </w:r>
    </w:p>
    <w:p>
      <w:pPr>
        <w:spacing w:before="0" w:after="80" w:line="276" w:lineRule="auto"/>
      </w:pPr>
      <w:r>
        <w:rPr>
          <w:rFonts w:ascii="Calibri" w:hAnsi="Calibri"/>
          <w:color w:val="2C3E50"/>
          <w:sz w:val="20"/>
        </w:rPr>
        <w:t>ResearchNexus AI is an enterprise-grade academic research intelligence platform. It is built as a responsive, modern web application backed by high-performance asynchronous microservices and local neural models.</w:t>
      </w:r>
    </w:p>
    <w:tbl>
      <w:tblPr>
        <w:tblW w:type="auto" w:w="0"/>
        <w:jc w:val="center"/>
        <w:tblLayout w:type="fixed"/>
        <w:tblLook w:firstColumn="1" w:firstRow="1" w:lastColumn="0" w:lastRow="0" w:noHBand="0" w:noVBand="1" w:val="04A0"/>
      </w:tblPr>
      <w:tblGrid>
        <w:gridCol w:w="2592"/>
        <w:gridCol w:w="3168"/>
        <w:gridCol w:w="4032"/>
      </w:tblGrid>
      <w:tr>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Layer / Subsystem</w:t>
            </w:r>
          </w:p>
        </w:tc>
        <w:tc>
          <w:tcPr>
            <w:tcW w:type="dxa" w:w="3168"/>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Technology / Framework</w:t>
            </w:r>
          </w:p>
        </w:tc>
        <w:tc>
          <w:tcPr>
            <w:tcW w:type="dxa" w:w="403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Specific Version &amp; Role in Implementation</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Frontend UI/UX</w:t>
            </w:r>
          </w:p>
        </w:tc>
        <w:tc>
          <w:tcPr>
            <w:tcW w:type="dxa" w:w="316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React 18 + TypeScript + Vite</w:t>
            </w:r>
          </w:p>
        </w:tc>
        <w:tc>
          <w:tcPr>
            <w:tcW w:type="dxa" w:w="403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High-responsiveness single-page application with modular atomic workspaces.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Styling &amp; Icons</w:t>
            </w:r>
          </w:p>
        </w:tc>
        <w:tc>
          <w:tcPr>
            <w:tcW w:type="dxa" w:w="316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Tailwind CSS + Lucide Icons</w:t>
            </w:r>
          </w:p>
        </w:tc>
        <w:tc>
          <w:tcPr>
            <w:tcW w:type="dxa" w:w="403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Modern, dark/light theme supporting academic dashboards and interactive drawers.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 API Server</w:t>
            </w:r>
          </w:p>
        </w:tc>
        <w:tc>
          <w:tcPr>
            <w:tcW w:type="dxa" w:w="316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FastAPI (Python 3.11+)</w:t>
            </w:r>
          </w:p>
        </w:tc>
        <w:tc>
          <w:tcPr>
            <w:tcW w:type="dxa" w:w="403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High-throughput asynchronous ASGI web server with strict Pydantic schemas.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Dense Vector Embeddings</w:t>
            </w:r>
          </w:p>
        </w:tc>
        <w:tc>
          <w:tcPr>
            <w:tcW w:type="dxa" w:w="316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BAAI/bge-base-en-v1.5</w:t>
            </w:r>
          </w:p>
        </w:tc>
        <w:tc>
          <w:tcPr>
            <w:tcW w:type="dxa" w:w="403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768-dimensional dense vector representations optimized for retrieval tasks.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Lexical Search Engine</w:t>
            </w:r>
          </w:p>
        </w:tc>
        <w:tc>
          <w:tcPr>
            <w:tcW w:type="dxa" w:w="316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rank-bm25 (BM25Okapi)</w:t>
            </w:r>
          </w:p>
        </w:tc>
        <w:tc>
          <w:tcPr>
            <w:tcW w:type="dxa" w:w="403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Term frequency / inverse document frequency scoring over tokenized corpora.</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Hybrid Fusion</w:t>
            </w:r>
          </w:p>
        </w:tc>
        <w:tc>
          <w:tcPr>
            <w:tcW w:type="dxa" w:w="316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Reciprocal Rank Fusion (RRF)</w:t>
            </w:r>
          </w:p>
        </w:tc>
        <w:tc>
          <w:tcPr>
            <w:tcW w:type="dxa" w:w="403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Rank aggregation with constant k=60 balancing lexical and semantic rank positions.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Neural Reranker</w:t>
            </w:r>
          </w:p>
        </w:tc>
        <w:tc>
          <w:tcPr>
            <w:tcW w:type="dxa" w:w="316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BAAI/bge-reranker-base</w:t>
            </w:r>
          </w:p>
        </w:tc>
        <w:tc>
          <w:tcPr>
            <w:tcW w:type="dxa" w:w="403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Cross-encoder scoring full (query, document) token interactions (median latency: 531ms).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Vector Database</w:t>
            </w:r>
          </w:p>
        </w:tc>
        <w:tc>
          <w:tcPr>
            <w:tcW w:type="dxa" w:w="316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ChromaDB (Persistent Client)</w:t>
            </w:r>
          </w:p>
        </w:tc>
        <w:tc>
          <w:tcPr>
            <w:tcW w:type="dxa" w:w="403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Stores chunk embeddings, metadata, domain tags, and provides cosine ANN search.</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Relational Metadata</w:t>
            </w:r>
          </w:p>
        </w:tc>
        <w:tc>
          <w:tcPr>
            <w:tcW w:type="dxa" w:w="316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SQLite (Local) / PostgreSQL</w:t>
            </w:r>
          </w:p>
        </w:tc>
        <w:tc>
          <w:tcPr>
            <w:tcW w:type="dxa" w:w="403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Stores paper catalog, user libraries, query histories, and evaluation logs.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Document Parsing</w:t>
            </w:r>
          </w:p>
        </w:tc>
        <w:tc>
          <w:tcPr>
            <w:tcW w:type="dxa" w:w="316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PyMuPDF (fitz) + LlamaIndex</w:t>
            </w:r>
          </w:p>
        </w:tc>
        <w:tc>
          <w:tcPr>
            <w:tcW w:type="dxa" w:w="403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Extracts clean text streams, parses section hierarchies, and creates token-bounded chunks.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Generative AI Backbone</w:t>
            </w:r>
          </w:p>
        </w:tc>
        <w:tc>
          <w:tcPr>
            <w:tcW w:type="dxa" w:w="316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Google Gemini 2.5 Flash</w:t>
            </w:r>
          </w:p>
        </w:tc>
        <w:tc>
          <w:tcPr>
            <w:tcW w:type="dxa" w:w="403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High-speed reasoning model with temperature=0.2 for reproducible factual synthesis.</w:t>
            </w:r>
          </w:p>
        </w:tc>
      </w:tr>
    </w:tbl>
    <w:p>
      <w:pPr>
        <w:spacing w:before="0" w:after="80"/>
      </w:pPr>
    </w:p>
    <w:p>
      <w:pPr>
        <w:pStyle w:val="Heading1"/>
        <w:keepNext/>
        <w:spacing w:before="280" w:after="120"/>
      </w:pPr>
      <w:r>
        <w:rPr>
          <w:rFonts w:ascii="Calibri" w:hAnsi="Calibri"/>
          <w:b/>
          <w:color w:val="0E4D92"/>
          <w:sz w:val="32"/>
        </w:rPr>
        <w:t>4. The Project in One Simple Flow: End-to-End Execution Pipeline</w:t>
      </w:r>
    </w:p>
    <w:p>
      <w:pPr>
        <w:spacing w:before="0" w:after="80" w:line="276" w:lineRule="auto"/>
      </w:pPr>
      <w:r>
        <w:rPr>
          <w:rFonts w:ascii="Calibri" w:hAnsi="Calibri"/>
          <w:color w:val="2C3E50"/>
          <w:sz w:val="20"/>
        </w:rPr>
        <w:t>To understand ResearchNexus AI intuitively, visualize the complete lifecycle of a user query from keyboard to verified synthesis:</w:t>
      </w:r>
    </w:p>
    <w:p>
      <w:pPr>
        <w:spacing w:before="80" w:after="40"/>
      </w:pPr>
      <w:r>
        <w:rPr>
          <w:rFonts w:ascii="Calibri" w:hAnsi="Calibri"/>
          <w:b/>
          <w:color w:val="1B4F72"/>
          <w:sz w:val="19"/>
        </w:rPr>
        <w:t>Code Listing: ResearchNexus AI Core Execution Pipeline</w:t>
      </w:r>
    </w:p>
    <w:tbl>
      <w:tblPr>
        <w:tblW w:type="auto" w:w="0"/>
        <w:jc w:val="center"/>
        <w:tblLayout w:type="fixed"/>
        <w:tblLook w:firstColumn="1" w:firstRow="1" w:lastColumn="0" w:lastRow="0" w:noHBand="0" w:noVBand="1" w:val="04A0"/>
      </w:tblPr>
      <w:tblGrid>
        <w:gridCol w:w="9792"/>
      </w:tblGrid>
      <w:tr>
        <w:tc>
          <w:tcPr>
            <w:tcW w:type="dxa" w:w="10080"/>
            <w:shd w:fill="F4F6F7"/>
            <w:tcBorders>
              <w:left w:val="single" w:sz="18" w:space="0" w:color="7F8C8D"/>
              <w:top w:val="single" w:sz="4" w:space="0" w:color="BDC3C7"/>
              <w:right w:val="single" w:sz="4" w:space="0" w:color="BDC3C7"/>
              <w:bottom w:val="single" w:sz="4" w:space="0" w:color="BDC3C7"/>
            </w:tcBorders>
          </w:tcPr>
          <w:p>
            <w:pPr>
              <w:spacing w:before="60" w:after="60"/>
            </w:pPr>
            <w:r>
              <w:rPr>
                <w:rFonts w:ascii="Consolas" w:hAnsi="Consolas"/>
                <w:color w:val="212F3D"/>
                <w:sz w:val="17"/>
              </w:rPr>
              <w:t>USER QUERY: 'What are the main causes of concept drift in continual learning?'</w:t>
              <w:br/>
              <w:t xml:space="preserve">   │</w:t>
              <w:br/>
              <w:t xml:space="preserve">   ├───► 1. HYBRID RETRIEVAL</w:t>
              <w:br/>
              <w:t xml:space="preserve">   │     ├─ BM25 Lexical Search (extracts exact keywords: 'concept drift', 'continual learning')</w:t>
              <w:br/>
              <w:t xml:space="preserve">   │     └─ BGE-Base-en-v1.5 Dense Search (768-dim cosine similarity on ChromaDB)</w:t>
              <w:br/>
              <w:t xml:space="preserve">   │</w:t>
              <w:br/>
              <w:t xml:space="preserve">   ├───► 2. RECIPROCAL RANK FUSION (RRF k=60)</w:t>
              <w:br/>
              <w:t xml:space="preserve">   │     └─ Merges top-N ranked lists into a single candidate pool (achieves 100% recall on TEST benchmark)</w:t>
              <w:br/>
              <w:t xml:space="preserve">   │</w:t>
              <w:br/>
              <w:t xml:space="preserve">   ├───► 3. CROSS-ENCODER RERANKING (bge-reranker-base)</w:t>
              <w:br/>
              <w:t xml:space="preserve">   │     └─ Scores joint (query, chunk) token cross-attention; filters out superficial keyword matches</w:t>
              <w:br/>
              <w:t xml:space="preserve">   │</w:t>
              <w:br/>
              <w:t xml:space="preserve">   ├───► 4. CACHE HANDOFF (Explorer -&gt; Assistant Bridge)</w:t>
              <w:br/>
              <w:t xml:space="preserve">   │     └─ Clicking 'Ask AI' passes the retrieved chunk IDs directly; NO redundant retrieval needed!</w:t>
              <w:br/>
              <w:t xml:space="preserve">   │</w:t>
              <w:br/>
              <w:t xml:space="preserve">   ├───► 5. GENERATIVE SYNTHESIS (Gemini 2.5 Flash, temp=0.2)</w:t>
              <w:br/>
              <w:t xml:space="preserve">   │     └─ Drafts a comprehensive, structured scientific synthesis citing chunk keys ([chunk-xx])</w:t>
              <w:br/>
              <w:t xml:space="preserve">   │</w:t>
              <w:br/>
              <w:t xml:space="preserve">   ├───► 6. TWO-STAGE CLAIM VERIFICATION (ClaimVerifier)</w:t>
              <w:br/>
              <w:t xml:space="preserve">   │     ├─ Stage A: Deterministic token overlap (threshold = 0.80)</w:t>
              <w:br/>
              <w:t xml:space="preserve">   │     └─ Stage B: Semantic NLI (Supported / Partially Supported / Unsupported / Contradicted)</w:t>
              <w:br/>
              <w:t xml:space="preserve">   │</w:t>
              <w:br/>
              <w:t xml:space="preserve">   ├───► 7. CITATION INTEGRITY &amp; AUDIT LEDGER</w:t>
              <w:br/>
              <w:t xml:space="preserve">   │     └─ Replaces weak citations conservatively; attaches cryptographic SHA-256 hashes to every claim</w:t>
              <w:br/>
              <w:t xml:space="preserve">   │</w:t>
              <w:br/>
              <w:t xml:space="preserve">   └───► 8. INTERACTIVE PROVENANCE UI (Proof Drawer)</w:t>
              <w:br/>
              <w:t xml:space="preserve">         └─ Displays verified badges, evidence highlights, rerank scores, and paper PDF deep-links.</w:t>
            </w:r>
          </w:p>
        </w:tc>
      </w:tr>
    </w:tbl>
    <w:p>
      <w:pPr>
        <w:spacing w:before="0" w:after="80"/>
      </w:pPr>
    </w:p>
    <w:p>
      <w:pPr>
        <w:pStyle w:val="Heading1"/>
        <w:keepNext/>
        <w:spacing w:before="280" w:after="120"/>
      </w:pPr>
      <w:r>
        <w:rPr>
          <w:rFonts w:ascii="Calibri" w:hAnsi="Calibri"/>
          <w:b/>
          <w:color w:val="0E4D92"/>
          <w:sz w:val="32"/>
        </w:rPr>
        <w:t>5. Product Modules &amp; Major Features (With Honest Implementation Status)</w:t>
      </w:r>
    </w:p>
    <w:p>
      <w:pPr>
        <w:spacing w:before="0" w:after="80" w:line="276" w:lineRule="auto"/>
      </w:pPr>
      <w:r>
        <w:rPr>
          <w:rFonts w:ascii="Calibri" w:hAnsi="Calibri"/>
          <w:color w:val="2C3E50"/>
          <w:sz w:val="20"/>
        </w:rPr>
        <w:t>During your presentation, transparency about what is running live in the codebase versus what is partially implemented or planned demonstrates high scientific integrity. Below is the authoritative breakdown of every module:</w:t>
      </w:r>
    </w:p>
    <w:tbl>
      <w:tblPr>
        <w:tblW w:type="auto" w:w="0"/>
        <w:jc w:val="center"/>
        <w:tblLayout w:type="fixed"/>
        <w:tblLook w:firstColumn="1" w:firstRow="1" w:lastColumn="0" w:lastRow="0" w:noHBand="0" w:noVBand="1" w:val="04A0"/>
      </w:tblPr>
      <w:tblGrid>
        <w:gridCol w:w="2160"/>
        <w:gridCol w:w="1728"/>
        <w:gridCol w:w="3744"/>
        <w:gridCol w:w="2160"/>
      </w:tblGrid>
      <w:tr>
        <w:tc>
          <w:tcPr>
            <w:tcW w:type="dxa" w:w="216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Module / Feature</w:t>
            </w:r>
          </w:p>
        </w:tc>
        <w:tc>
          <w:tcPr>
            <w:tcW w:type="dxa" w:w="1728"/>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Implementation Status</w:t>
            </w:r>
          </w:p>
        </w:tc>
        <w:tc>
          <w:tcPr>
            <w:tcW w:type="dxa" w:w="3744"/>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Functionality &amp; Working Reality</w:t>
            </w:r>
          </w:p>
        </w:tc>
        <w:tc>
          <w:tcPr>
            <w:tcW w:type="dxa" w:w="216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Where in Codebase</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Dashboard Page</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Shows quick statistics, quick navigation buttons, recent search queries, and active workspace switcher.</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src/pages/DashboardPage.tsx</w:t>
            </w:r>
          </w:p>
        </w:tc>
      </w:tr>
      <w:tr>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Research Explorer (Hybrid Search)</w:t>
            </w:r>
          </w:p>
        </w:tc>
        <w:tc>
          <w:tcPr>
            <w:tcW w:type="dxa" w:w="172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Performs BM25 + Dense ChromaDB retrieval, RRF k=60 fusion, Cross-Encoder reranking, domain filtering, and year range filters.</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src/pages/HybridSearchPage.tsx, backend/app/services/retrieval.py</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Domain Filtering (8 Domains)</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PARTIALLY 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UI supports 8 domains. Offline corpus (687 papers) is verified primarily in Artificial Intelligence, Environmental Science, and Interdisciplinary.</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src/pages/HybridSearchPage.tsx, backend/app/services/retrieval.py</w:t>
            </w:r>
          </w:p>
        </w:tc>
      </w:tr>
      <w:tr>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Research Assistant (Ask AI)</w:t>
            </w:r>
          </w:p>
        </w:tc>
        <w:tc>
          <w:tcPr>
            <w:tcW w:type="dxa" w:w="172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Multi-turn scientific dialogue, caching context passed from Explorer, verified claim auditing, and structured scientific synthesis.</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src/pages/AssistantPage.tsx, backend/app/services/assistant/enhanced_rag.py</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Multi-Paper Comparison</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Compares 2 to 5 papers side-by-side across 10 structured scientific dimensions with strictly isolated prompt cells to prevent blending.</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src/pages/ComparisonPage.tsx, backend/app/services/assistant/comparison_engine.py</w:t>
            </w:r>
          </w:p>
        </w:tc>
      </w:tr>
      <w:tr>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PROVE Verification Engine</w:t>
            </w:r>
          </w:p>
        </w:tc>
        <w:tc>
          <w:tcPr>
            <w:tcW w:type="dxa" w:w="172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Decomposes synthesis into atomic claims, runs deterministic token overlap check, then executes semantic NLI verification.</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backend/app/services/assistant/claim_verifier.py</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XAI Provenance Ledger &amp; Drawer</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Interactive slide-out drawer showing exact supporting sentence snippets, chunk IDs, cosine scores, and cross-encoder logits.</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src/components/assistant/ClaimProofDrawer.tsx</w:t>
            </w:r>
          </w:p>
        </w:tc>
      </w:tr>
      <w:tr>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Document-Only PDF Analysis</w:t>
            </w:r>
          </w:p>
        </w:tc>
        <w:tc>
          <w:tcPr>
            <w:tcW w:type="dxa" w:w="172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User uploads local PDF; PyMuPDF parses text into a temporary isolated ChromaDB collection. Strict zero-leakage guarantee.</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backend/app/services/document_service.py</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Dynamic Paper Ingestion Pipeline</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Asynchronous status machine: UPLOADED -&gt; PARSING -&gt; CHUNKING -&gt; EMBEDDING -&gt; INDEXED -&gt; READY with progress tracking.</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backend/app/services/document_service.py</w:t>
            </w:r>
          </w:p>
        </w:tc>
      </w:tr>
      <w:tr>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Literature Review Generator</w:t>
            </w:r>
          </w:p>
        </w:tc>
        <w:tc>
          <w:tcPr>
            <w:tcW w:type="dxa" w:w="172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PARTIALLY IMPLEMENTED</w:t>
            </w:r>
          </w:p>
        </w:tc>
        <w:tc>
          <w:tcPr>
            <w:tcW w:type="dxa" w:w="374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Produces structured thematic reviews from selected library papers; citation synthesis active, background auto-clustering in progress.</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src/pages/LiteratureReviewPage.tsx</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Personal Library &amp; Collections</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Allows saving papers from search results, organizing into custom folders/tags, and batch-selecting papers for comparison.</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src/pages/LibraryPage.tsx</w:t>
            </w:r>
          </w:p>
        </w:tc>
      </w:tr>
      <w:tr>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Research Notebook &amp; Workspace</w:t>
            </w:r>
          </w:p>
        </w:tc>
        <w:tc>
          <w:tcPr>
            <w:tcW w:type="dxa" w:w="172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Markdown note-taking integrated directly beside paper viewing panes, with citation dragging.</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src/pages/NotebookPage.tsx</w:t>
            </w:r>
          </w:p>
        </w:tc>
      </w:tr>
      <w:tr>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System Analytics Dashboard</w:t>
            </w:r>
          </w:p>
        </w:tc>
        <w:tc>
          <w:tcPr>
            <w:tcW w:type="dxa" w:w="172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IMPLEMENTED</w:t>
            </w:r>
          </w:p>
        </w:tc>
        <w:tc>
          <w:tcPr>
            <w:tcW w:type="dxa" w:w="374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Displays retrieval latency benchmarks, reranking distributions, cache hit rates, and claim verification statistics.</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src/pages/AnalyticsPage.tsx</w:t>
            </w:r>
          </w:p>
        </w:tc>
      </w:tr>
    </w:tbl>
    <w:p>
      <w:pPr>
        <w:spacing w:before="0" w:after="80"/>
      </w:pPr>
    </w:p>
    <w:p>
      <w:pPr>
        <w:pStyle w:val="Heading1"/>
        <w:keepNext/>
        <w:spacing w:before="280" w:after="120"/>
      </w:pPr>
      <w:r>
        <w:rPr>
          <w:rFonts w:ascii="Calibri" w:hAnsi="Calibri"/>
          <w:b/>
          <w:color w:val="0E4D92"/>
          <w:sz w:val="32"/>
        </w:rPr>
        <w:t>6. Retrieval Explained as a Story: The Battle Between Keywords &amp; Concepts</w:t>
      </w:r>
    </w:p>
    <w:p>
      <w:pPr>
        <w:spacing w:before="0" w:after="80" w:line="276" w:lineRule="auto"/>
      </w:pPr>
      <w:r>
        <w:rPr>
          <w:rFonts w:ascii="Calibri" w:hAnsi="Calibri"/>
          <w:color w:val="2C3E50"/>
          <w:sz w:val="20"/>
        </w:rPr>
        <w:t>Imagine you are in a massive university library containing 26,000 research articles. You ask a junior librarian: 'Find papers discussing how neural networks lose previously learned skills when trained on new tasks.'</w:t>
      </w:r>
    </w:p>
    <w:p>
      <w:pPr>
        <w:spacing w:before="0" w:after="80" w:line="276" w:lineRule="auto"/>
      </w:pPr>
      <w:r>
        <w:rPr>
          <w:rFonts w:ascii="Calibri" w:hAnsi="Calibri"/>
          <w:color w:val="2C3E50"/>
          <w:sz w:val="20"/>
        </w:rPr>
        <w:t>If the librarian only knows strict keyword matching (like classical BM25), they look through the index for the words 'neural networks lose skills'. If a seminal paper titled 'Catastrophic Forgetting in Continual Learning' never uses the exact phrase 'lose skills', the librarian walks right past it. That is the fundamental weakness of lexical search: vocabulary mismatch.</w:t>
      </w:r>
    </w:p>
    <w:p>
      <w:pPr>
        <w:spacing w:before="0" w:after="80" w:line="276" w:lineRule="auto"/>
      </w:pPr>
      <w:r>
        <w:rPr>
          <w:rFonts w:ascii="Calibri" w:hAnsi="Calibri"/>
          <w:color w:val="2C3E50"/>
          <w:sz w:val="20"/>
        </w:rPr>
        <w:t>Now imagine a second librarian who works entirely through conceptual vibes (dense vector embeddings). They understand that 'losing skills' relates to 'catastrophic forgetting'. But if you give them a precise query like 'BERT-large F1 score on SQuAD v2', they might hand you a paper about RoBERTa on GLUE because conceptually both are transformer language models! The vector similarity glosses over the exact model name and numerical benchmark.</w:t>
      </w:r>
    </w:p>
    <w:p>
      <w:pPr>
        <w:spacing w:before="0" w:after="80" w:line="276" w:lineRule="auto"/>
      </w:pPr>
      <w:r>
        <w:rPr>
          <w:rFonts w:ascii="Calibri" w:hAnsi="Calibri"/>
          <w:color w:val="2C3E50"/>
          <w:sz w:val="20"/>
        </w:rPr>
        <w:t>How ResearchNexus AI Solves This: The Hybrid RRF Pipeline</w:t>
        <w:br/>
        <w:t>We combine both librarians using Reciprocal Rank Fusion (RRF with k=60). The BM25 engine guarantees that exact acronyms, dataset names, and mathematical terms are prioritized. Simultaneously, the BAAI/bge-base-en-v1.5 embedding engine projects both query and chunks into a 768-dimensional latent space to capture semantic intent. RRF calculates a combined score:</w:t>
      </w:r>
    </w:p>
    <w:p>
      <w:pPr>
        <w:spacing w:before="80" w:after="40"/>
      </w:pPr>
      <w:r>
        <w:rPr>
          <w:rFonts w:ascii="Calibri" w:hAnsi="Calibri"/>
          <w:b/>
          <w:color w:val="1B4F72"/>
          <w:sz w:val="19"/>
        </w:rPr>
        <w:t>Code Listing: Reciprocal Rank Fusion Formulation</w:t>
      </w:r>
    </w:p>
    <w:tbl>
      <w:tblPr>
        <w:tblW w:type="auto" w:w="0"/>
        <w:jc w:val="center"/>
        <w:tblLayout w:type="fixed"/>
        <w:tblLook w:firstColumn="1" w:firstRow="1" w:lastColumn="0" w:lastRow="0" w:noHBand="0" w:noVBand="1" w:val="04A0"/>
      </w:tblPr>
      <w:tblGrid>
        <w:gridCol w:w="9792"/>
      </w:tblGrid>
      <w:tr>
        <w:tc>
          <w:tcPr>
            <w:tcW w:type="dxa" w:w="10080"/>
            <w:shd w:fill="F4F6F7"/>
            <w:tcBorders>
              <w:left w:val="single" w:sz="18" w:space="0" w:color="7F8C8D"/>
              <w:top w:val="single" w:sz="4" w:space="0" w:color="BDC3C7"/>
              <w:right w:val="single" w:sz="4" w:space="0" w:color="BDC3C7"/>
              <w:bottom w:val="single" w:sz="4" w:space="0" w:color="BDC3C7"/>
            </w:tcBorders>
          </w:tcPr>
          <w:p>
            <w:pPr>
              <w:spacing w:before="60" w:after="60"/>
            </w:pPr>
            <w:r>
              <w:rPr>
                <w:rFonts w:ascii="Consolas" w:hAnsi="Consolas"/>
                <w:color w:val="212F3D"/>
                <w:sz w:val="17"/>
              </w:rPr>
              <w:t>RRF_Score(d) = sum( 1 / (k + rank_i(d)) ) for each retriever i</w:t>
              <w:br/>
              <w:t>where k = 60 (standard Cormack et al. smoothing constant).</w:t>
              <w:br/>
              <w:br/>
              <w:t>If a chunk ranks 1st in BM25:  1 / (60 + 1) = 0.01639</w:t>
              <w:br/>
              <w:t>If that chunk ranks 3rd in Dense: 1 / (60 + 3) = 0.01587</w:t>
              <w:br/>
              <w:t>Combined RRF Score = 0.01639 + 0.01587 = 0.03226 -&gt; Dominates candidate ranking!</w:t>
            </w:r>
          </w:p>
        </w:tc>
      </w:tr>
    </w:tbl>
    <w:p>
      <w:pPr>
        <w:spacing w:before="0" w:after="80"/>
      </w:pPr>
    </w:p>
    <w:p>
      <w:pPr>
        <w:spacing w:before="0" w:after="80" w:line="276" w:lineRule="auto"/>
      </w:pPr>
      <w:r>
        <w:rPr>
          <w:rFonts w:ascii="Calibri" w:hAnsi="Calibri"/>
          <w:color w:val="2C3E50"/>
          <w:sz w:val="20"/>
        </w:rPr>
        <w:t>In our frozen experimental evaluation across 100 benchmark queries (ds_nexus_v11), this hybrid strategy achieved:</w:t>
        <w:br/>
        <w:t>• Dense-only Recall@20: 0.9000 (TEST split: 0.9000)</w:t>
        <w:br/>
        <w:t>• BM25-only Recall@20: 0.8800 (TEST split: 0.9333)</w:t>
        <w:br/>
        <w:t>• Hybrid RRF k=20 Candidate Recall: 0.9500 (TEST split: 1.0000 - perfect recall!)</w:t>
      </w:r>
    </w:p>
    <w:p>
      <w:pPr>
        <w:pStyle w:val="Heading1"/>
        <w:keepNext/>
        <w:spacing w:before="280" w:after="120"/>
      </w:pPr>
      <w:r>
        <w:rPr>
          <w:rFonts w:ascii="Calibri" w:hAnsi="Calibri"/>
          <w:b/>
          <w:color w:val="0E4D92"/>
          <w:sz w:val="32"/>
        </w:rPr>
        <w:t>7. Neural Cross-Encoder Reranking: Why Dense Cosine Similarity Isn't Enough</w:t>
      </w:r>
    </w:p>
    <w:p>
      <w:pPr>
        <w:spacing w:before="0" w:after="80" w:line="276" w:lineRule="auto"/>
      </w:pPr>
      <w:r>
        <w:rPr>
          <w:rFonts w:ascii="Calibri" w:hAnsi="Calibri"/>
          <w:color w:val="2C3E50"/>
          <w:sz w:val="20"/>
        </w:rPr>
        <w:t>A common viva question is: 'If your bi-encoder embeddings already scored the similarity, why do you need a second reranking model?'</w:t>
      </w:r>
    </w:p>
    <w:p>
      <w:pPr>
        <w:spacing w:before="0" w:after="80" w:line="276" w:lineRule="auto"/>
      </w:pPr>
      <w:r>
        <w:rPr>
          <w:rFonts w:ascii="Calibri" w:hAnsi="Calibri"/>
          <w:color w:val="2C3E50"/>
          <w:sz w:val="20"/>
        </w:rPr>
        <w:t>The answer lies in how bi-encoders work versus cross-encoders:</w:t>
        <w:br/>
        <w:t>• Bi-Encoder (bge-base-en-v1.5): The query and the document chunk are encoded into vectors independently. The interaction is computed as a simple dot product: cos_sim(u, v) = u . v. This allows lightning-fast approximate nearest neighbor search over 26,000 vectors, but the model cannot see the query tokens and document tokens simultaneously. Cross-attention is impossible.</w:t>
        <w:br/>
        <w:t>• Cross-Encoder (bge-reranker-base): We take the top 20 candidates from RRF and feed the combined string: [CLS] Query [SEP] Chunk [SEP] directly into a 12-layer transformer. Every single word in the query attends to every single word in the research chunk. This captures subtle logical nuances, negations, conditionality ('effective under low temperature, but fails under high latency'), and eliminates superficial keyword coincidences.</w:t>
      </w:r>
    </w:p>
    <w:tbl>
      <w:tblPr>
        <w:tblW w:type="auto" w:w="0"/>
        <w:jc w:val="center"/>
        <w:tblLayout w:type="fixed"/>
        <w:tblLook w:firstColumn="1" w:firstRow="1" w:lastColumn="0" w:lastRow="0" w:noHBand="0" w:noVBand="1" w:val="04A0"/>
      </w:tblPr>
      <w:tblGrid>
        <w:gridCol w:w="9792"/>
      </w:tblGrid>
      <w:tr>
        <w:tc>
          <w:tcPr>
            <w:tcW w:type="dxa" w:w="10080"/>
            <w:shd w:fill="EAF2F8"/>
            <w:tcBorders>
              <w:left w:val="single" w:sz="24" w:space="0" w:color="2471A3"/>
              <w:top w:val="none"/>
              <w:right w:val="none"/>
              <w:bottom w:val="none"/>
            </w:tcBorders>
          </w:tcPr>
          <w:p>
            <w:pPr>
              <w:spacing w:before="80" w:after="40"/>
            </w:pPr>
            <w:r>
              <w:rPr>
                <w:rFonts w:ascii="Calibri" w:hAnsi="Calibri"/>
                <w:b/>
                <w:color w:val="2471A3"/>
                <w:sz w:val="21"/>
              </w:rPr>
              <w:t>★ REAL SYSTEM PERFORMANCE METRIC</w:t>
              <w:br/>
            </w:r>
          </w:p>
          <w:p>
            <w:pPr>
              <w:spacing w:before="0" w:after="80"/>
            </w:pPr>
            <w:r>
              <w:rPr>
                <w:rFonts w:ascii="Calibri" w:hAnsi="Calibri"/>
                <w:color w:val="2C3E50"/>
                <w:sz w:val="20"/>
              </w:rPr>
              <w:t>Our empirical evaluation measures the cross-encoder reranking latency:</w:t>
              <w:br/>
              <w:t>• Median Latency: 531.41 ms (p50)</w:t>
              <w:br/>
              <w:t>• 90th Percentile Latency: 642.10 ms (p90)</w:t>
              <w:br/>
              <w:t>This half-second overhead is well within the acceptable budget for academic research synthesis, while boosting answer grounding precision dramatically.</w:t>
            </w:r>
          </w:p>
        </w:tc>
      </w:tr>
    </w:tbl>
    <w:p>
      <w:pPr>
        <w:spacing w:before="0" w:after="80"/>
      </w:pPr>
    </w:p>
    <w:p>
      <w:pPr>
        <w:pStyle w:val="Heading1"/>
        <w:keepNext/>
        <w:spacing w:before="280" w:after="120"/>
      </w:pPr>
      <w:r>
        <w:rPr>
          <w:rFonts w:ascii="Calibri" w:hAnsi="Calibri"/>
          <w:b/>
          <w:color w:val="0E4D92"/>
          <w:sz w:val="32"/>
        </w:rPr>
        <w:t>8. RAG from Zero to Scientific Synthesis: Avoiding the Common Traps</w:t>
      </w:r>
    </w:p>
    <w:p>
      <w:pPr>
        <w:spacing w:before="0" w:after="80" w:line="276" w:lineRule="auto"/>
      </w:pPr>
      <w:r>
        <w:rPr>
          <w:rFonts w:ascii="Calibri" w:hAnsi="Calibri"/>
          <w:color w:val="2C3E50"/>
          <w:sz w:val="20"/>
        </w:rPr>
        <w:t>Retrieval-Augmented Generation (RAG) is commonly implemented by taking top chunks, concatenating them into a prompt, and asking an LLM: 'Answer the question based on the text above.' In scientific research, this naive approach fails catastrophically:</w:t>
      </w:r>
    </w:p>
    <w:p>
      <w:pPr>
        <w:pStyle w:val="ListBullet"/>
        <w:spacing w:before="0" w:after="40" w:line="276" w:lineRule="auto"/>
      </w:pPr>
      <w:r>
        <w:rPr>
          <w:rFonts w:ascii="Calibri" w:hAnsi="Calibri"/>
          <w:b/>
          <w:color w:val="1A252C"/>
          <w:sz w:val="20"/>
        </w:rPr>
        <w:t xml:space="preserve">Contradiction Blurring: </w:t>
      </w:r>
      <w:r>
        <w:rPr>
          <w:rFonts w:ascii="Calibri" w:hAnsi="Calibri"/>
          <w:color w:val="2C3E50"/>
          <w:sz w:val="20"/>
        </w:rPr>
        <w:t>The LLM blurs contradictory findings from Paper A and Paper B into a single compromise claim.</w:t>
      </w:r>
    </w:p>
    <w:p>
      <w:pPr>
        <w:pStyle w:val="ListBullet"/>
        <w:spacing w:before="0" w:after="40" w:line="276" w:lineRule="auto"/>
      </w:pPr>
      <w:r>
        <w:rPr>
          <w:rFonts w:ascii="Calibri" w:hAnsi="Calibri"/>
          <w:b/>
          <w:color w:val="1A252C"/>
          <w:sz w:val="20"/>
        </w:rPr>
        <w:t xml:space="preserve">Phantom Footnotes: </w:t>
      </w:r>
      <w:r>
        <w:rPr>
          <w:rFonts w:ascii="Calibri" w:hAnsi="Calibri"/>
          <w:color w:val="2C3E50"/>
          <w:sz w:val="20"/>
        </w:rPr>
        <w:t>The model attaches footnote [1] to a sentence, but paper [1] only discusses the background, not the metric.</w:t>
      </w:r>
    </w:p>
    <w:p>
      <w:pPr>
        <w:pStyle w:val="ListBullet"/>
        <w:spacing w:before="0" w:after="40" w:line="276" w:lineRule="auto"/>
      </w:pPr>
      <w:r>
        <w:rPr>
          <w:rFonts w:ascii="Calibri" w:hAnsi="Calibri"/>
          <w:b/>
          <w:color w:val="1A252C"/>
          <w:sz w:val="20"/>
        </w:rPr>
        <w:t xml:space="preserve">Extrapolative Smoothing: </w:t>
      </w:r>
      <w:r>
        <w:rPr>
          <w:rFonts w:ascii="Calibri" w:hAnsi="Calibri"/>
          <w:color w:val="2C3E50"/>
          <w:sz w:val="20"/>
        </w:rPr>
        <w:t>When retrieved chunks contain partial answers, the LLM hallucinates the missing methodological steps to make the paragraph read smoothly.</w:t>
      </w:r>
    </w:p>
    <w:p>
      <w:pPr>
        <w:spacing w:before="0" w:after="80" w:line="276" w:lineRule="auto"/>
      </w:pPr>
      <w:r>
        <w:rPr>
          <w:rFonts w:ascii="Calibri" w:hAnsi="Calibri"/>
          <w:color w:val="2C3E50"/>
          <w:sz w:val="20"/>
        </w:rPr>
        <w:t>How ResearchNexus AI Does RAG Differently:</w:t>
        <w:br/>
        <w:t>1. Strict Chunk Key Attribution: The LLM prompt enforces that every assertive statement must reference the exact assigned chunk token [chunk_id].</w:t>
        <w:br/>
        <w:t>2. Temperature Calibration: We run Gemini 2.5 Flash at temperature=0.2 with nucleus sampling to suppress imaginative variance.</w:t>
        <w:br/>
        <w:t>3. Post-Generation Claim Extraction: The synthesis is not presented immediately. It is split into individual declarative claims and routed through our two-stage verification engine.</w:t>
        <w:br/>
        <w:t>4. Cache Preservation: When a user performs a search in Research Explorer and clicks 'Ask AI', the exact reranked chunk context is passed in the client/session state, completely bypassing redundant re-retrieval.</w:t>
      </w:r>
    </w:p>
    <w:p>
      <w:pPr>
        <w:pStyle w:val="Heading1"/>
        <w:keepNext/>
        <w:spacing w:before="280" w:after="120"/>
      </w:pPr>
      <w:r>
        <w:rPr>
          <w:rFonts w:ascii="Calibri" w:hAnsi="Calibri"/>
          <w:b/>
          <w:color w:val="0E4D92"/>
          <w:sz w:val="32"/>
        </w:rPr>
        <w:t>9. Research Gap &amp; Motivation: What Existing Literature Platforms Lack</w:t>
      </w:r>
    </w:p>
    <w:p>
      <w:pPr>
        <w:spacing w:before="0" w:after="80" w:line="276" w:lineRule="auto"/>
      </w:pPr>
      <w:r>
        <w:rPr>
          <w:rFonts w:ascii="Calibri" w:hAnsi="Calibri"/>
          <w:color w:val="2C3E50"/>
          <w:sz w:val="20"/>
        </w:rPr>
        <w:t>To clearly establish our academic contribution, we mapped existing state-of-the-art tools against ResearchNexus AI:</w:t>
      </w:r>
    </w:p>
    <w:tbl>
      <w:tblPr>
        <w:tblW w:type="auto" w:w="0"/>
        <w:jc w:val="center"/>
        <w:tblLayout w:type="fixed"/>
        <w:tblLook w:firstColumn="1" w:firstRow="1" w:lastColumn="0" w:lastRow="0" w:noHBand="0" w:noVBand="1" w:val="04A0"/>
      </w:tblPr>
      <w:tblGrid>
        <w:gridCol w:w="2592"/>
        <w:gridCol w:w="2304"/>
        <w:gridCol w:w="2304"/>
        <w:gridCol w:w="2592"/>
      </w:tblGrid>
      <w:tr>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Capability / Feature</w:t>
            </w:r>
          </w:p>
        </w:tc>
        <w:tc>
          <w:tcPr>
            <w:tcW w:type="dxa" w:w="2304"/>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Google Scholar / Semantic Scholar</w:t>
            </w:r>
          </w:p>
        </w:tc>
        <w:tc>
          <w:tcPr>
            <w:tcW w:type="dxa" w:w="2304"/>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Consensus / Elicit</w:t>
            </w:r>
          </w:p>
        </w:tc>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ResearchNexus AI</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Search Modality</w:t>
            </w:r>
          </w:p>
        </w:tc>
        <w:tc>
          <w:tcPr>
            <w:tcW w:type="dxa" w:w="230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Keyword + Citation Graph</w:t>
            </w:r>
          </w:p>
        </w:tc>
        <w:tc>
          <w:tcPr>
            <w:tcW w:type="dxa" w:w="230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Dense Semantic Search</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Hybrid BM25 + BGE Dense + Cross-Encoder</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Verification Engine</w:t>
            </w:r>
          </w:p>
        </w:tc>
        <w:tc>
          <w:tcPr>
            <w:tcW w:type="dxa" w:w="230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None (Manual reading)</w:t>
            </w:r>
          </w:p>
        </w:tc>
        <w:tc>
          <w:tcPr>
            <w:tcW w:type="dxa" w:w="230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Simple snippet extraction</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Two-Stage Audit (Token Overlap + NLI)</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Audit Transparency</w:t>
            </w:r>
          </w:p>
        </w:tc>
        <w:tc>
          <w:tcPr>
            <w:tcW w:type="dxa" w:w="230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Link to paper only</w:t>
            </w:r>
          </w:p>
        </w:tc>
        <w:tc>
          <w:tcPr>
            <w:tcW w:type="dxa" w:w="230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Snippet quotation</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Interactive Proof Drawer with Rerank Scores &amp; SHA-256</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Multi-Paper Comparison</w:t>
            </w:r>
          </w:p>
        </w:tc>
        <w:tc>
          <w:tcPr>
            <w:tcW w:type="dxa" w:w="230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None</w:t>
            </w:r>
          </w:p>
        </w:tc>
        <w:tc>
          <w:tcPr>
            <w:tcW w:type="dxa" w:w="230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Summary table (generic)</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10-Dimension Matrix with Isolated Paper-Cells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Document-Only Mode</w:t>
            </w:r>
          </w:p>
        </w:tc>
        <w:tc>
          <w:tcPr>
            <w:tcW w:type="dxa" w:w="230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None</w:t>
            </w:r>
          </w:p>
        </w:tc>
        <w:tc>
          <w:tcPr>
            <w:tcW w:type="dxa" w:w="230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PDF upload (often blended)</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Dedicated Collection with Zero-Leakage Guarantee</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Workflow Continuity</w:t>
            </w:r>
          </w:p>
        </w:tc>
        <w:tc>
          <w:tcPr>
            <w:tcW w:type="dxa" w:w="230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Isolated tabs</w:t>
            </w:r>
          </w:p>
        </w:tc>
        <w:tc>
          <w:tcPr>
            <w:tcW w:type="dxa" w:w="230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Separate search vs chat</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Unified Explorer -&gt; Assistant -&gt; Compare -&gt; Library Pipeline</w:t>
            </w:r>
          </w:p>
        </w:tc>
      </w:tr>
    </w:tbl>
    <w:p>
      <w:pPr>
        <w:spacing w:before="0" w:after="80"/>
      </w:pPr>
    </w:p>
    <w:p>
      <w:pPr>
        <w:pStyle w:val="Heading1"/>
        <w:keepNext/>
        <w:spacing w:before="280" w:after="120"/>
      </w:pPr>
      <w:r>
        <w:rPr>
          <w:rFonts w:ascii="Calibri" w:hAnsi="Calibri"/>
          <w:b/>
          <w:color w:val="0E4D92"/>
          <w:sz w:val="32"/>
        </w:rPr>
        <w:t>10. Uploaded Paper / Document-Only Mode: Zero-Leakage Architecture</w:t>
      </w:r>
    </w:p>
    <w:p>
      <w:pPr>
        <w:spacing w:before="0" w:after="80" w:line="276" w:lineRule="auto"/>
      </w:pPr>
      <w:r>
        <w:rPr>
          <w:rFonts w:ascii="Calibri" w:hAnsi="Calibri"/>
          <w:color w:val="2C3E50"/>
          <w:sz w:val="20"/>
        </w:rPr>
        <w:t>A critical feature in ResearchNexus AI is the Document-Only Analysis Mode. When a researcher uploads an unpublished manuscript or a confidential preprint (PDF), they need answers strictly derived from that single paper.</w:t>
      </w:r>
    </w:p>
    <w:p>
      <w:pPr>
        <w:spacing w:before="0" w:after="80" w:line="276" w:lineRule="auto"/>
      </w:pPr>
      <w:r>
        <w:rPr>
          <w:rFonts w:ascii="Calibri" w:hAnsi="Calibri"/>
          <w:color w:val="2C3E50"/>
          <w:sz w:val="20"/>
        </w:rPr>
        <w:t>The Engineering Danger: In many naive RAG systems, if an uploaded document is short or doesn't mention a specific background concept, the retrieval engine silently falls back to the global knowledge base or the LLM's parametric memory. This can lead to disastrous confidentiality breaches or cross-contamination where findings from external papers are attributed to the uploaded draft.</w:t>
      </w:r>
    </w:p>
    <w:tbl>
      <w:tblPr>
        <w:tblW w:type="auto" w:w="0"/>
        <w:jc w:val="center"/>
        <w:tblLayout w:type="fixed"/>
        <w:tblLook w:firstColumn="1" w:firstRow="1" w:lastColumn="0" w:lastRow="0" w:noHBand="0" w:noVBand="1" w:val="04A0"/>
      </w:tblPr>
      <w:tblGrid>
        <w:gridCol w:w="9792"/>
      </w:tblGrid>
      <w:tr>
        <w:tc>
          <w:tcPr>
            <w:tcW w:type="dxa" w:w="10080"/>
            <w:shd w:fill="FDEDEC"/>
            <w:tcBorders>
              <w:left w:val="single" w:sz="24" w:space="0" w:color="E74C3C"/>
              <w:top w:val="none"/>
              <w:right w:val="none"/>
              <w:bottom w:val="none"/>
            </w:tcBorders>
          </w:tcPr>
          <w:p>
            <w:pPr>
              <w:spacing w:before="80" w:after="40"/>
            </w:pPr>
            <w:r>
              <w:rPr>
                <w:rFonts w:ascii="Calibri" w:hAnsi="Calibri"/>
                <w:b/>
                <w:color w:val="E74C3C"/>
                <w:sz w:val="21"/>
              </w:rPr>
              <w:t>★ HOW WE GUARANTEE ZERO LEAKAGE IN CODE</w:t>
              <w:br/>
            </w:r>
          </w:p>
          <w:p>
            <w:pPr>
              <w:spacing w:before="0" w:after="80"/>
            </w:pPr>
            <w:r>
              <w:rPr>
                <w:rFonts w:ascii="Calibri" w:hAnsi="Calibri"/>
                <w:color w:val="2C3E50"/>
                <w:sz w:val="20"/>
              </w:rPr>
              <w:t>In `backend/app/services/document_service.py` and `enhanced_rag.py`:</w:t>
              <w:br/>
              <w:t>1. When a PDF is uploaded, PyMuPDF parses the text streams into chunks and stores them into an ephemeral or user-scoped ChromaDB collection (e.g. `doc_user_session_xyz`).</w:t>
              <w:br/>
              <w:t>2. The RAG controller checks the active mode flag: `doc_only_mode = True`.</w:t>
              <w:br/>
              <w:t>3. All retrieval queries are strictly targeted to the document collection ID.</w:t>
              <w:br/>
              <w:t>4. If the retrieved chunks have zero relevance to the user's question, the system outputs: 'The uploaded document does not provide evidence to answer this question' rather than falling back to the 687-paper global library.</w:t>
            </w:r>
          </w:p>
        </w:tc>
      </w:tr>
    </w:tbl>
    <w:p>
      <w:pPr>
        <w:spacing w:before="0" w:after="80"/>
      </w:pPr>
    </w:p>
    <w:p>
      <w:pPr>
        <w:pStyle w:val="Heading1"/>
        <w:keepNext/>
        <w:spacing w:before="280" w:after="120"/>
      </w:pPr>
      <w:r>
        <w:rPr>
          <w:rFonts w:ascii="Calibri" w:hAnsi="Calibri"/>
          <w:b/>
          <w:color w:val="0E4D92"/>
          <w:sz w:val="32"/>
        </w:rPr>
        <w:t>11. Dynamic Research Paper Ingestion Pipeline</w:t>
      </w:r>
    </w:p>
    <w:p>
      <w:pPr>
        <w:spacing w:before="0" w:after="80" w:line="276" w:lineRule="auto"/>
      </w:pPr>
      <w:r>
        <w:rPr>
          <w:rFonts w:ascii="Calibri" w:hAnsi="Calibri"/>
          <w:color w:val="2C3E50"/>
          <w:sz w:val="20"/>
        </w:rPr>
        <w:t>When a user drops a PDF into the ResearchNexus interface, it undergoes an asynchronous multi-stage ingestion state machine:</w:t>
      </w:r>
    </w:p>
    <w:p>
      <w:pPr>
        <w:spacing w:before="80" w:after="40"/>
      </w:pPr>
      <w:r>
        <w:rPr>
          <w:rFonts w:ascii="Calibri" w:hAnsi="Calibri"/>
          <w:b/>
          <w:color w:val="1B4F72"/>
          <w:sz w:val="19"/>
        </w:rPr>
        <w:t>Code Listing: Asynchronous Ingestion Pipeline Stages</w:t>
      </w:r>
    </w:p>
    <w:tbl>
      <w:tblPr>
        <w:tblW w:type="auto" w:w="0"/>
        <w:jc w:val="center"/>
        <w:tblLayout w:type="fixed"/>
        <w:tblLook w:firstColumn="1" w:firstRow="1" w:lastColumn="0" w:lastRow="0" w:noHBand="0" w:noVBand="1" w:val="04A0"/>
      </w:tblPr>
      <w:tblGrid>
        <w:gridCol w:w="9792"/>
      </w:tblGrid>
      <w:tr>
        <w:tc>
          <w:tcPr>
            <w:tcW w:type="dxa" w:w="10080"/>
            <w:shd w:fill="F4F6F7"/>
            <w:tcBorders>
              <w:left w:val="single" w:sz="18" w:space="0" w:color="7F8C8D"/>
              <w:top w:val="single" w:sz="4" w:space="0" w:color="BDC3C7"/>
              <w:right w:val="single" w:sz="4" w:space="0" w:color="BDC3C7"/>
              <w:bottom w:val="single" w:sz="4" w:space="0" w:color="BDC3C7"/>
            </w:tcBorders>
          </w:tcPr>
          <w:p>
            <w:pPr>
              <w:spacing w:before="60" w:after="60"/>
            </w:pPr>
            <w:r>
              <w:rPr>
                <w:rFonts w:ascii="Consolas" w:hAnsi="Consolas"/>
                <w:color w:val="212F3D"/>
                <w:sz w:val="17"/>
              </w:rPr>
              <w:t>1. UPLOAD RECEIVED  -&gt; Validates PDF headers, checks mime-type, saves to secure temp storage.</w:t>
              <w:br/>
              <w:t>2. PARSING (fitz)   -&gt; PyMuPDF extracts continuous text blocks, stripping headers/footers/page numbers.</w:t>
              <w:br/>
              <w:t>3. CHUNKING         -&gt; LlamaIndex sentence splitter creates ~500-token chunks with 50-token overlaps.</w:t>
              <w:br/>
              <w:t>4. EMBEDDING        -&gt; BAAI/bge-base-en-v1.5 generates 768-dim vectors in batches on GPU/CPU.</w:t>
              <w:br/>
              <w:t>5. INDEXING         -&gt; Vectors and chunk metadata (page, section, hash) are committed to ChromaDB.</w:t>
              <w:br/>
              <w:t>6. BM25 UPDATING    -&gt; Inverted token index is refreshed for the document session.</w:t>
              <w:br/>
              <w:t>7. READY STATE      -&gt; Status changes to READY; instant exploration and Q&amp;A unlocked in UI.</w:t>
            </w:r>
          </w:p>
        </w:tc>
      </w:tr>
    </w:tbl>
    <w:p>
      <w:pPr>
        <w:spacing w:before="0" w:after="80"/>
      </w:pPr>
    </w:p>
    <w:p>
      <w:pPr>
        <w:pStyle w:val="Heading1"/>
        <w:keepNext/>
        <w:spacing w:before="280" w:after="120"/>
      </w:pPr>
      <w:r>
        <w:rPr>
          <w:rFonts w:ascii="Calibri" w:hAnsi="Calibri"/>
          <w:b/>
          <w:color w:val="0E4D92"/>
          <w:sz w:val="32"/>
        </w:rPr>
        <w:t>12. Two-Stage Claim Verification: The PROVE Engine</w:t>
      </w:r>
    </w:p>
    <w:p>
      <w:pPr>
        <w:spacing w:before="0" w:after="80" w:line="276" w:lineRule="auto"/>
      </w:pPr>
      <w:r>
        <w:rPr>
          <w:rFonts w:ascii="Calibri" w:hAnsi="Calibri"/>
          <w:color w:val="2C3E50"/>
          <w:sz w:val="20"/>
        </w:rPr>
        <w:t>The intellectual crown jewel of ResearchNexus AI is our Claim Verification Engine (`backend/app/services/assistant/claim_verifier.py`). Instead of treating the generated synthesis as an unmodifiable block of prose, our system deconstructs it into atomic declarative claims and subjects each claim to an evidentiary tribunal.</w:t>
      </w:r>
    </w:p>
    <w:p>
      <w:pPr>
        <w:spacing w:before="0" w:after="80" w:line="276" w:lineRule="auto"/>
      </w:pPr>
      <w:r>
        <w:rPr>
          <w:rFonts w:ascii="Calibri" w:hAnsi="Calibri"/>
          <w:color w:val="2C3E50"/>
          <w:sz w:val="20"/>
        </w:rPr>
        <w:t>Stage A: Fast Deterministic Token Overlap</w:t>
        <w:br/>
        <w:t>We first evaluate the direct lexical overlap between the extracted claim C and the cited evidence chunk E. We compute the symmetric token intersection ratio over non-stopword stems:</w:t>
        <w:br/>
        <w:t>Overlap(C, E) = |Tokens(C) ∩ Tokens(E)| / |Tokens(C)|</w:t>
        <w:br/>
        <w:t>If Overlap &gt;= 0.80, the claim is a direct verbatim quote or highly strict paraphrase. It is instantaneously verified in under 5ms, saving expensive LLM inference cycles.</w:t>
      </w:r>
    </w:p>
    <w:p>
      <w:pPr>
        <w:spacing w:before="0" w:after="80" w:line="276" w:lineRule="auto"/>
      </w:pPr>
      <w:r>
        <w:rPr>
          <w:rFonts w:ascii="Calibri" w:hAnsi="Calibri"/>
          <w:color w:val="2C3E50"/>
          <w:sz w:val="20"/>
        </w:rPr>
        <w:t>Stage B: Natural Language Inference (NLI) Verification</w:t>
        <w:br/>
        <w:t>When Overlap &lt; 0.80, the claim requires conceptual semantic evaluation. We feed the evidence chunk as the Premise and the claim as the Hypothesis into an NLI reasoning prompt. The verifier assigns one of four mutually exclusive scientific labels:</w:t>
      </w:r>
    </w:p>
    <w:tbl>
      <w:tblPr>
        <w:tblW w:type="auto" w:w="0"/>
        <w:jc w:val="center"/>
        <w:tblLayout w:type="fixed"/>
        <w:tblLook w:firstColumn="1" w:firstRow="1" w:lastColumn="0" w:lastRow="0" w:noHBand="0" w:noVBand="1" w:val="04A0"/>
      </w:tblPr>
      <w:tblGrid>
        <w:gridCol w:w="2592"/>
        <w:gridCol w:w="3888"/>
        <w:gridCol w:w="3312"/>
      </w:tblGrid>
      <w:tr>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Verification Label</w:t>
            </w:r>
          </w:p>
        </w:tc>
        <w:tc>
          <w:tcPr>
            <w:tcW w:type="dxa" w:w="3888"/>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Evidentiary Meaning</w:t>
            </w:r>
          </w:p>
        </w:tc>
        <w:tc>
          <w:tcPr>
            <w:tcW w:type="dxa" w:w="331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System Action &amp; Visual Badge</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SUPPORTED</w:t>
            </w:r>
          </w:p>
        </w:tc>
        <w:tc>
          <w:tcPr>
            <w:tcW w:type="dxa" w:w="388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retrieved evidence chunk directly entails the factual statement made in the claim.</w:t>
            </w:r>
          </w:p>
        </w:tc>
        <w:tc>
          <w:tcPr>
            <w:tcW w:type="dxa" w:w="331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Green Checkmark Badge [Verified]. Full provenance link preserved in UI.</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PARTIALLY SUPPORTED</w:t>
            </w:r>
          </w:p>
        </w:tc>
        <w:tc>
          <w:tcPr>
            <w:tcW w:type="dxa" w:w="388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evidence provides partial context or qualitative confirmation, but lacks specific quantitative details.</w:t>
            </w:r>
          </w:p>
        </w:tc>
        <w:tc>
          <w:tcPr>
            <w:tcW w:type="dxa" w:w="331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Amber Warning Badge [Partial]. System warns user to check specific parameters.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UNSUPPORTED</w:t>
            </w:r>
          </w:p>
        </w:tc>
        <w:tc>
          <w:tcPr>
            <w:tcW w:type="dxa" w:w="388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evidence chunk does not mention or imply the asserted claim (extrapolative hallucination).</w:t>
            </w:r>
          </w:p>
        </w:tc>
        <w:tc>
          <w:tcPr>
            <w:tcW w:type="dxa" w:w="331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Red Flag Badge [Unverified]. Synthesis flags claim as unsubstantiated.</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CONTRADICTED</w:t>
            </w:r>
          </w:p>
        </w:tc>
        <w:tc>
          <w:tcPr>
            <w:tcW w:type="dxa" w:w="388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evidence explicitly states the opposite of what the synthesis asserted.</w:t>
            </w:r>
          </w:p>
        </w:tc>
        <w:tc>
          <w:tcPr>
            <w:tcW w:type="dxa" w:w="331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Purple Warning Badge [Contradicted]. System alerts researcher to experimental discrepancy.</w:t>
            </w:r>
          </w:p>
        </w:tc>
      </w:tr>
    </w:tbl>
    <w:p>
      <w:pPr>
        <w:spacing w:before="0" w:after="80"/>
      </w:pPr>
    </w:p>
    <w:p>
      <w:pPr>
        <w:pStyle w:val="Heading1"/>
        <w:keepNext/>
        <w:spacing w:before="280" w:after="120"/>
      </w:pPr>
      <w:r>
        <w:rPr>
          <w:rFonts w:ascii="Calibri" w:hAnsi="Calibri"/>
          <w:b/>
          <w:color w:val="0E4D92"/>
          <w:sz w:val="32"/>
        </w:rPr>
        <w:t>13. Citation Integrity System &amp; Conservative Repair (E06 &amp; E06.1 Insights)</w:t>
      </w:r>
    </w:p>
    <w:p>
      <w:pPr>
        <w:spacing w:before="0" w:after="80" w:line="276" w:lineRule="auto"/>
      </w:pPr>
      <w:r>
        <w:rPr>
          <w:rFonts w:ascii="Calibri" w:hAnsi="Calibri"/>
          <w:color w:val="2C3E50"/>
          <w:sz w:val="20"/>
        </w:rPr>
        <w:t>In naive AI writing tools, when a citation is broken or incorrect, the tool might randomly pick any paper in the database that has matching keywords and re-assign the footnote. In research, this is academic fraud.</w:t>
      </w:r>
    </w:p>
    <w:p>
      <w:pPr>
        <w:spacing w:before="0" w:after="80" w:line="276" w:lineRule="auto"/>
      </w:pPr>
      <w:r>
        <w:rPr>
          <w:rFonts w:ascii="Calibri" w:hAnsi="Calibri"/>
          <w:color w:val="2C3E50"/>
          <w:sz w:val="20"/>
        </w:rPr>
        <w:t>In ResearchNexus AI, our Citation Integrity System (`backend/app/services/assistant/citation_repair.py`) operates under strict conservative rules:</w:t>
        <w:br/>
        <w:t>1. Exact Retrieval Context Isolation: When a claim's cited chunk fails verification, repair is ONLY attempted within the exact frozen pool of retrieved chunks associated with that query.</w:t>
        <w:br/>
        <w:t>2. High Entailment Threshold: A candidate replacement chunk must independently achieve a strict SUPPORTED label for that specific claim.</w:t>
        <w:br/>
        <w:t>3. Conservative Abstention: If no retrieved chunk strictly supports the claim, the system DOES NOT invent a fake citation. It strips the invalid citation tag and marks the claim as unverified.</w:t>
      </w:r>
    </w:p>
    <w:tbl>
      <w:tblPr>
        <w:tblW w:type="auto" w:w="0"/>
        <w:jc w:val="center"/>
        <w:tblLayout w:type="fixed"/>
        <w:tblLook w:firstColumn="1" w:firstRow="1" w:lastColumn="0" w:lastRow="0" w:noHBand="0" w:noVBand="1" w:val="04A0"/>
      </w:tblPr>
      <w:tblGrid>
        <w:gridCol w:w="9792"/>
      </w:tblGrid>
      <w:tr>
        <w:tc>
          <w:tcPr>
            <w:tcW w:type="dxa" w:w="10080"/>
            <w:shd w:fill="FEF9E7"/>
            <w:tcBorders>
              <w:left w:val="single" w:sz="24" w:space="0" w:color="F39C12"/>
              <w:top w:val="none"/>
              <w:right w:val="none"/>
              <w:bottom w:val="none"/>
            </w:tcBorders>
          </w:tcPr>
          <w:p>
            <w:pPr>
              <w:spacing w:before="80" w:after="40"/>
            </w:pPr>
            <w:r>
              <w:rPr>
                <w:rFonts w:ascii="Calibri" w:hAnsi="Calibri"/>
                <w:b/>
                <w:color w:val="F39C12"/>
                <w:sz w:val="21"/>
              </w:rPr>
              <w:t>★ EVALUATION EXPERIMENT E06 &amp; E06.1 REALITY</w:t>
              <w:br/>
            </w:r>
          </w:p>
          <w:p>
            <w:pPr>
              <w:spacing w:before="0" w:after="80"/>
            </w:pPr>
            <w:r>
              <w:rPr>
                <w:rFonts w:ascii="Calibri" w:hAnsi="Calibri"/>
                <w:color w:val="2C3E50"/>
                <w:sz w:val="20"/>
              </w:rPr>
              <w:t>During our formal benchmark evaluation across 100 queries (191 potential repair opportunities):</w:t>
              <w:br/>
              <w:t>Our system attempted repair strictly against the retrieved evidence pool. Exactly 0 unsupported claims were arbitrarily re-linked to distractor chunks. This demonstrated our system's scientific honesty: we prefer abstention over fabricated attribution!</w:t>
            </w:r>
          </w:p>
        </w:tc>
      </w:tr>
    </w:tbl>
    <w:p>
      <w:pPr>
        <w:spacing w:before="0" w:after="80"/>
      </w:pPr>
    </w:p>
    <w:p>
      <w:pPr>
        <w:pStyle w:val="Heading1"/>
        <w:keepNext/>
        <w:spacing w:before="280" w:after="120"/>
      </w:pPr>
      <w:r>
        <w:rPr>
          <w:rFonts w:ascii="Calibri" w:hAnsi="Calibri"/>
          <w:b/>
          <w:color w:val="0E4D92"/>
          <w:sz w:val="32"/>
        </w:rPr>
        <w:t>14. Explainable AI (XAI) &amp; The Provenance Ledger</w:t>
      </w:r>
    </w:p>
    <w:p>
      <w:pPr>
        <w:spacing w:before="0" w:after="80" w:line="276" w:lineRule="auto"/>
      </w:pPr>
      <w:r>
        <w:rPr>
          <w:rFonts w:ascii="Calibri" w:hAnsi="Calibri"/>
          <w:color w:val="2C3E50"/>
          <w:sz w:val="20"/>
        </w:rPr>
        <w:t>Explainability in ResearchNexus AI is not just a post-hoc paragraph summary; it is built into the data structure of every response. Every claim in the synthesis is serialized into an authoritative provenance ledger containing:</w:t>
        <w:br/>
        <w:t>• `claim_id`: Unique identifier (e.g. `claim_q14_c02`)</w:t>
        <w:br/>
        <w:t>• `claim_text`: Exact atomic sentence text</w:t>
        <w:br/>
        <w:t>• `evidence_chunk_id`: The exact chunk in ChromaDB (e.g. `chunk_24819`)</w:t>
        <w:br/>
        <w:t>• `paper_title` &amp; `doi`: Bibliographic metadata</w:t>
        <w:br/>
        <w:t>• `retrieval_ranks`: BM25 rank, Dense rank, and RRF rank</w:t>
        <w:br/>
        <w:t>• `rerank_score`: Neural cross-encoder logit score</w:t>
        <w:br/>
        <w:t>• `evidence_sha256`: Cryptographic hash of the exact evidence text slice</w:t>
        <w:br/>
        <w:t>• `verification_status`: SUPPORTED, PARTIALLY_SUPPORTED, etc.</w:t>
      </w:r>
    </w:p>
    <w:p>
      <w:pPr>
        <w:spacing w:before="0" w:after="80" w:line="276" w:lineRule="auto"/>
      </w:pPr>
      <w:r>
        <w:rPr>
          <w:rFonts w:ascii="Calibri" w:hAnsi="Calibri"/>
          <w:color w:val="2C3E50"/>
          <w:sz w:val="20"/>
        </w:rPr>
        <w:t>In our frozen evaluation (`ds_nexus_v11`), ResearchNexus AI achieved a 100% verified trace link rate (202/202 claims) with valid chunk provenance and SHA-256 integrity hashes.</w:t>
      </w:r>
    </w:p>
    <w:p>
      <w:pPr>
        <w:pStyle w:val="Heading1"/>
        <w:keepNext/>
        <w:spacing w:before="280" w:after="120"/>
      </w:pPr>
      <w:r>
        <w:rPr>
          <w:rFonts w:ascii="Calibri" w:hAnsi="Calibri"/>
          <w:b/>
          <w:color w:val="0E4D92"/>
          <w:sz w:val="32"/>
        </w:rPr>
        <w:t>15. Multi-Paper Matrix Comparison: Structured Synthesis Without Contamination</w:t>
      </w:r>
    </w:p>
    <w:p>
      <w:pPr>
        <w:spacing w:before="0" w:after="80" w:line="276" w:lineRule="auto"/>
      </w:pPr>
      <w:r>
        <w:rPr>
          <w:rFonts w:ascii="Calibri" w:hAnsi="Calibri"/>
          <w:color w:val="2C3E50"/>
          <w:sz w:val="20"/>
        </w:rPr>
        <w:t>When literature reviews evaluate multiple papers, students and researchers frequently get confused about which paper used which dataset, which baseline achieved what score, and what specific limitations each author acknowledged. ResearchNexus AI introduces an automated Multi-Paper Comparison Engine (`backend/app/services/assistant/comparison_engine.py`).</w:t>
      </w:r>
    </w:p>
    <w:p>
      <w:pPr>
        <w:spacing w:before="0" w:after="80" w:line="276" w:lineRule="auto"/>
      </w:pPr>
      <w:r>
        <w:rPr>
          <w:rFonts w:ascii="Calibri" w:hAnsi="Calibri"/>
          <w:color w:val="2C3E50"/>
          <w:sz w:val="20"/>
        </w:rPr>
        <w:t>The 10 Structured Scientific Dimensions:</w:t>
        <w:br/>
        <w:t>1. Research Objective &amp; Problem Formulation</w:t>
        <w:br/>
        <w:t>2. Core Proposed Methodology / Architecture</w:t>
        <w:br/>
        <w:t>3. Key Datasets &amp; Benchmarks Evaluated</w:t>
        <w:br/>
        <w:t>4. Primary Quantitative Results &amp; Performance Metrics</w:t>
        <w:br/>
        <w:t>5. Baseline Models Compared Against</w:t>
        <w:br/>
        <w:t>6. Computational Complexity &amp; Resource Requirements (GPU/VRAM/Compute)</w:t>
        <w:br/>
        <w:t>7. Major Theoretical &amp; Empirical Strengths</w:t>
        <w:br/>
        <w:t>8. Stated Weaknesses &amp; Critical Failure Modes</w:t>
        <w:br/>
        <w:t>9. Real-World Practical Applicability &amp; Deployment Readiness</w:t>
        <w:br/>
        <w:t>10. Authors' Stated Future Research Directions</w:t>
      </w:r>
    </w:p>
    <w:tbl>
      <w:tblPr>
        <w:tblW w:type="auto" w:w="0"/>
        <w:jc w:val="center"/>
        <w:tblLayout w:type="fixed"/>
        <w:tblLook w:firstColumn="1" w:firstRow="1" w:lastColumn="0" w:lastRow="0" w:noHBand="0" w:noVBand="1" w:val="04A0"/>
      </w:tblPr>
      <w:tblGrid>
        <w:gridCol w:w="9792"/>
      </w:tblGrid>
      <w:tr>
        <w:tc>
          <w:tcPr>
            <w:tcW w:type="dxa" w:w="10080"/>
            <w:shd w:fill="EAF2F8"/>
            <w:tcBorders>
              <w:left w:val="single" w:sz="24" w:space="0" w:color="2471A3"/>
              <w:top w:val="none"/>
              <w:right w:val="none"/>
              <w:bottom w:val="none"/>
            </w:tcBorders>
          </w:tcPr>
          <w:p>
            <w:pPr>
              <w:spacing w:before="80" w:after="40"/>
            </w:pPr>
            <w:r>
              <w:rPr>
                <w:rFonts w:ascii="Calibri" w:hAnsi="Calibri"/>
                <w:b/>
                <w:color w:val="2471A3"/>
                <w:sz w:val="21"/>
              </w:rPr>
              <w:t>★ CRITICAL ARCHITECTURAL SAFEGUARD: ZERO CROSS-PAPER CONTAMINATION</w:t>
              <w:br/>
            </w:r>
          </w:p>
          <w:p>
            <w:pPr>
              <w:spacing w:before="0" w:after="80"/>
            </w:pPr>
            <w:r>
              <w:rPr>
                <w:rFonts w:ascii="Calibri" w:hAnsi="Calibri"/>
                <w:color w:val="2C3E50"/>
                <w:sz w:val="20"/>
              </w:rPr>
              <w:t>How do we prevent the LLM from attributing Paper A's results to Paper B? In `comparison_engine.py`, each matrix cell is populated by querying the LLM with an isolated context envelope: ONLY the chunks corresponding to Paper X are provided when extracting Paper X's methodology and metrics. The comparative synthesis is generated only after all individual cells are independently verified against their respective source documents.</w:t>
            </w:r>
          </w:p>
        </w:tc>
      </w:tr>
    </w:tbl>
    <w:p>
      <w:pPr>
        <w:spacing w:before="0" w:after="80"/>
      </w:pPr>
    </w:p>
    <w:p>
      <w:pPr>
        <w:pStyle w:val="Heading1"/>
        <w:keepNext/>
        <w:spacing w:before="280" w:after="120"/>
      </w:pPr>
      <w:r>
        <w:rPr>
          <w:rFonts w:ascii="Calibri" w:hAnsi="Calibri"/>
          <w:b/>
          <w:color w:val="0E4D92"/>
          <w:sz w:val="32"/>
        </w:rPr>
        <w:t>16. Literature Review Workflow: From Search to Synthesis</w:t>
      </w:r>
    </w:p>
    <w:p>
      <w:pPr>
        <w:spacing w:before="0" w:after="80" w:line="276" w:lineRule="auto"/>
      </w:pPr>
      <w:r>
        <w:rPr>
          <w:rFonts w:ascii="Calibri" w:hAnsi="Calibri"/>
          <w:color w:val="2C3E50"/>
          <w:sz w:val="20"/>
        </w:rPr>
        <w:t>The Literature Review page (`src/pages/LiteratureReviewPage.tsx`) unifies the entire research discovery pipeline into a four-step flow:</w:t>
        <w:br/>
        <w:t>1. Paper Selection: Pick 3 to 10 papers directly from your Personal Library or from Explorer search results.</w:t>
        <w:br/>
        <w:t>2. Focus Area &amp; Topic Scoping: Choose specific thematic angles (e.g. 'Methodological Evolution', 'Empirical Baselines', 'Open Challenges').</w:t>
        <w:br/>
        <w:t>3. Synthesis Generation: The system drafts a cohesive, thematic multi-section literature review citing every paper with inline chunk references.</w:t>
        <w:br/>
        <w:t>4. Export &amp; Note Sync: Export the verified review directly into BibTeX, Markdown, or your Research Notebook.</w:t>
      </w:r>
    </w:p>
    <w:p>
      <w:pPr>
        <w:pStyle w:val="Heading1"/>
        <w:keepNext/>
        <w:spacing w:before="280" w:after="120"/>
      </w:pPr>
      <w:r>
        <w:rPr>
          <w:rFonts w:ascii="Calibri" w:hAnsi="Calibri"/>
          <w:b/>
          <w:color w:val="0E4D92"/>
          <w:sz w:val="32"/>
        </w:rPr>
        <w:t>17. Research Review Toolkit: 3 Production Scenario Banks</w:t>
      </w:r>
    </w:p>
    <w:p>
      <w:pPr>
        <w:spacing w:before="0" w:after="80" w:line="276" w:lineRule="auto"/>
      </w:pPr>
      <w:r>
        <w:rPr>
          <w:rFonts w:ascii="Calibri" w:hAnsi="Calibri"/>
          <w:color w:val="2C3E50"/>
          <w:sz w:val="20"/>
        </w:rPr>
        <w:t>To ensure the system works reliably across different researcher personas, we built and tested three distinct scenario banks (documented in `src/data/research_review_toolkit.md`):</w:t>
      </w:r>
    </w:p>
    <w:p>
      <w:pPr>
        <w:pStyle w:val="ListBullet"/>
        <w:spacing w:before="0" w:after="40" w:line="276" w:lineRule="auto"/>
      </w:pPr>
      <w:r>
        <w:rPr>
          <w:rFonts w:ascii="Calibri" w:hAnsi="Calibri"/>
          <w:b/>
          <w:color w:val="1A252C"/>
          <w:sz w:val="20"/>
        </w:rPr>
        <w:t xml:space="preserve">1. Daily Research Scenarios (Rapid Triage): </w:t>
      </w:r>
      <w:r>
        <w:rPr>
          <w:rFonts w:ascii="Calibri" w:hAnsi="Calibri"/>
          <w:color w:val="2C3E50"/>
          <w:sz w:val="20"/>
        </w:rPr>
        <w:t>Focuses on rapid literature triage. A student searches for a broad topic (e.g. 'federated learning non-IID data'), skims top reranked chunks, saves 3 papers to their library, and reads a 3-bullet verified summary.</w:t>
      </w:r>
    </w:p>
    <w:p>
      <w:pPr>
        <w:pStyle w:val="ListBullet"/>
        <w:spacing w:before="0" w:after="40" w:line="276" w:lineRule="auto"/>
      </w:pPr>
      <w:r>
        <w:rPr>
          <w:rFonts w:ascii="Calibri" w:hAnsi="Calibri"/>
          <w:b/>
          <w:color w:val="1A252C"/>
          <w:sz w:val="20"/>
        </w:rPr>
        <w:t xml:space="preserve">2. Deep Investigation Scenarios (Comparative Rigor): </w:t>
      </w:r>
      <w:r>
        <w:rPr>
          <w:rFonts w:ascii="Calibri" w:hAnsi="Calibri"/>
          <w:color w:val="2C3E50"/>
          <w:sz w:val="20"/>
        </w:rPr>
        <w:t>Focuses on rigorous comparative analysis. An author compares two competing architectures (e.g. LoRA vs Prefix Tuning) across parameter counts, training latency, and benchmark scores using the 10-dimension comparison matrix.</w:t>
      </w:r>
    </w:p>
    <w:p>
      <w:pPr>
        <w:pStyle w:val="ListBullet"/>
        <w:spacing w:before="0" w:after="40" w:line="276" w:lineRule="auto"/>
      </w:pPr>
      <w:r>
        <w:rPr>
          <w:rFonts w:ascii="Calibri" w:hAnsi="Calibri"/>
          <w:b/>
          <w:color w:val="1A252C"/>
          <w:sz w:val="20"/>
        </w:rPr>
        <w:t xml:space="preserve">3. Edge &amp; Boundary Scenarios (Robustness &amp; Integrity): </w:t>
      </w:r>
      <w:r>
        <w:rPr>
          <w:rFonts w:ascii="Calibri" w:hAnsi="Calibri"/>
          <w:color w:val="2C3E50"/>
          <w:sz w:val="20"/>
        </w:rPr>
        <w:t>Stress-tests the system under adversarial conditions: conflicting findings between papers, unanswerable queries outside the corpus, and confidential single-PDF uploads. In all cases, the system cleanly abstains or highlights contradictions rather than hallucinating.</w:t>
      </w:r>
    </w:p>
    <w:p>
      <w:pPr>
        <w:pStyle w:val="Heading1"/>
        <w:keepNext/>
        <w:spacing w:before="280" w:after="120"/>
      </w:pPr>
      <w:r>
        <w:rPr>
          <w:rFonts w:ascii="Calibri" w:hAnsi="Calibri"/>
          <w:b/>
          <w:color w:val="0E4D92"/>
          <w:sz w:val="32"/>
        </w:rPr>
        <w:t>18. Complete Live Demo Preparation: Step-by-Step Script for Tuesday</w:t>
      </w:r>
    </w:p>
    <w:p>
      <w:pPr>
        <w:spacing w:before="0" w:after="80" w:line="276" w:lineRule="auto"/>
      </w:pPr>
      <w:r>
        <w:rPr>
          <w:rFonts w:ascii="Calibri" w:hAnsi="Calibri"/>
          <w:color w:val="2C3E50"/>
          <w:sz w:val="20"/>
        </w:rPr>
        <w:t>During your presentation, follow this 8-step live demo sequence. It showcases every major capability in logical order without hiccups:</w:t>
      </w:r>
    </w:p>
    <w:tbl>
      <w:tblPr>
        <w:tblW w:type="auto" w:w="0"/>
        <w:jc w:val="center"/>
        <w:tblLayout w:type="fixed"/>
        <w:tblLook w:firstColumn="1" w:firstRow="1" w:lastColumn="0" w:lastRow="0" w:noHBand="0" w:noVBand="1" w:val="04A0"/>
      </w:tblPr>
      <w:tblGrid>
        <w:gridCol w:w="2592"/>
        <w:gridCol w:w="3600"/>
        <w:gridCol w:w="3600"/>
      </w:tblGrid>
      <w:tr>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Step / Screen</w:t>
            </w:r>
          </w:p>
        </w:tc>
        <w:tc>
          <w:tcPr>
            <w:tcW w:type="dxa" w:w="360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Action on Screen</w:t>
            </w:r>
          </w:p>
        </w:tc>
        <w:tc>
          <w:tcPr>
            <w:tcW w:type="dxa" w:w="360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What You Point Out to Mam</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1: Dashboard</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Open browser at localhost:5173. Show Dashboard overview.</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Explain the active workspace, 687 ingested research papers, 26,000+ indexed chunks, and recent query history.</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2: Explorer Search</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Type query: 'causes of concept drift in continual learning'. Click Search.</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Highlight the two-stage search: BM25 lexical match + BGE dense semantic match fused via RRF k=60, then reranked by Cross-Encoder in ~500ms.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3: Cache Handoff</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Click the 'Ask AI' button directly from the search results toolbar.</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Explain that the browser transfers the exact cached chunk IDs to the Assistant. No redundant retrieval or wasted server compute!</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4: Verified Synthesis</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Watch Gemini 2.5 Flash stream the synthesis with inline citations [1], [2].</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Show how each statement makes a concrete scientific claim backed by chunk keys.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5: Proof Drawer (XAI)</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Click the green 'Verified' badge next to a claim to open ClaimProofDrawer.</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Show the exact supporting sentence snippet, the paper title, DOI, cosine similarity score, and cryptographic SHA-256 evidence hash.</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6: Multi-Paper Compare</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Navigate to Compare Page. Select 2 papers on Continual Learning.</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Show the 10-dimension matrix generated side-by-side with zero cross-paper hallucination or cell bleeding.</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7: Document-Only Mode</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Upload a sample research PDF. Ask a question specific to that paper.</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Explain that the system isolates the PDF into a temporary collection with strict zero-leakage guarantee.</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DEMO 8: Analytics Page</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Switch to Analytics tab. Show latency breakdown &amp; benchmark charts.</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Present real empirical metrics: 531ms median reranker latency and 100% verified provenance links.</w:t>
            </w:r>
          </w:p>
        </w:tc>
      </w:tr>
    </w:tbl>
    <w:p>
      <w:pPr>
        <w:spacing w:before="0" w:after="80"/>
      </w:pPr>
    </w:p>
    <w:p>
      <w:pPr>
        <w:pStyle w:val="Heading1"/>
        <w:keepNext/>
        <w:spacing w:before="280" w:after="120"/>
      </w:pPr>
      <w:r>
        <w:rPr>
          <w:rFonts w:ascii="Calibri" w:hAnsi="Calibri"/>
          <w:b/>
          <w:color w:val="0E4D92"/>
          <w:sz w:val="32"/>
        </w:rPr>
        <w:t>19. Natural Speaking Scripts: What to Say in the Live Demo</w:t>
      </w:r>
    </w:p>
    <w:p>
      <w:pPr>
        <w:spacing w:before="0" w:after="80" w:line="276" w:lineRule="auto"/>
      </w:pPr>
      <w:r>
        <w:rPr>
          <w:rFonts w:ascii="Calibri" w:hAnsi="Calibri"/>
          <w:color w:val="2C3E50"/>
          <w:sz w:val="20"/>
        </w:rPr>
        <w:t>Use these exact speaking points while operating the interface so your explanation flows naturally and professionally:</w:t>
      </w:r>
    </w:p>
    <w:tbl>
      <w:tblPr>
        <w:tblW w:type="auto" w:w="0"/>
        <w:jc w:val="center"/>
        <w:tblLayout w:type="fixed"/>
        <w:tblLook w:firstColumn="1" w:firstRow="1" w:lastColumn="0" w:lastRow="0" w:noHBand="0" w:noVBand="1" w:val="04A0"/>
      </w:tblPr>
      <w:tblGrid>
        <w:gridCol w:w="9792"/>
      </w:tblGrid>
      <w:tr>
        <w:tc>
          <w:tcPr>
            <w:tcW w:type="dxa" w:w="10080"/>
            <w:shd w:fill="FEF9E7"/>
            <w:tcBorders>
              <w:left w:val="single" w:sz="24" w:space="0" w:color="F39C12"/>
              <w:top w:val="none"/>
              <w:right w:val="none"/>
              <w:bottom w:val="none"/>
            </w:tcBorders>
          </w:tcPr>
          <w:p>
            <w:pPr>
              <w:spacing w:before="80" w:after="40"/>
            </w:pPr>
            <w:r>
              <w:rPr>
                <w:rFonts w:ascii="Calibri" w:hAnsi="Calibri"/>
                <w:b/>
                <w:color w:val="F39C12"/>
                <w:sz w:val="21"/>
              </w:rPr>
              <w:t>★ SCRIPT 1: DURING RESEARCH EXPLORER SEARCH</w:t>
              <w:br/>
            </w:r>
          </w:p>
          <w:p>
            <w:pPr>
              <w:spacing w:before="0" w:after="80"/>
            </w:pPr>
            <w:r>
              <w:rPr>
                <w:rFonts w:ascii="Calibri" w:hAnsi="Calibri"/>
                <w:color w:val="2C3E50"/>
                <w:sz w:val="20"/>
              </w:rPr>
              <w:t>"Mam, let's start with Research Explorer. In traditional academic search, if a researcher enters 'causes of concept drift in continual learning', keyword search only finds papers with those exact words, missing synonyms like 'distribution shift' or 'catastrophic interference'. Our system immediately executes hybrid retrieval: rank-bm25 captures exact technical terminology, while BAAI/bge-base-en-v1.5 projects the query into a 768-dimensional semantic space. Reciprocal Rank Fusion combines the top candidates with k=60 smoothing. Then, our BAAI/bge-reranker-base cross-encoder evaluates full token-to-token attention in just 531 milliseconds, ranking the most relevant experimental chunks at the very top."</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10080"/>
            <w:shd w:fill="EAF2F8"/>
            <w:tcBorders>
              <w:left w:val="single" w:sz="24" w:space="0" w:color="2471A3"/>
              <w:top w:val="none"/>
              <w:right w:val="none"/>
              <w:bottom w:val="none"/>
            </w:tcBorders>
          </w:tcPr>
          <w:p>
            <w:pPr>
              <w:spacing w:before="80" w:after="40"/>
            </w:pPr>
            <w:r>
              <w:rPr>
                <w:rFonts w:ascii="Calibri" w:hAnsi="Calibri"/>
                <w:b/>
                <w:color w:val="2471A3"/>
                <w:sz w:val="21"/>
              </w:rPr>
              <w:t>★ SCRIPT 2: DURING 'ASK AI' AND PROOF DRAWER INSPECTION</w:t>
              <w:br/>
            </w:r>
          </w:p>
          <w:p>
            <w:pPr>
              <w:spacing w:before="0" w:after="80"/>
            </w:pPr>
            <w:r>
              <w:rPr>
                <w:rFonts w:ascii="Calibri" w:hAnsi="Calibri"/>
                <w:color w:val="2C3E50"/>
                <w:sz w:val="20"/>
              </w:rPr>
              <w:t>"Now, watch what happens when I click 'Ask AI'. Notice that the assistant begins synthesizing immediately without re-querying the database. That is our Explorer-to-Assistant cache handoff. Gemini 2.5 Flash generates a structured synthesis. But here is the critical difference: our PROVE engine intercepts the output. It decomposes the synthesis into individual claims, runs a deterministic token-overlap check, and then validates semantic entailment. When I click this green 'Verified' badge, our Claim Proof Drawer slides out. You can inspect the exact sentence from the source paper, the paper title, author, and even the SHA-256 cryptographic hash of the evidence chunk. There are no phantom footnotes or ungrounded assertions in ResearchNexus AI."</w:t>
            </w:r>
          </w:p>
        </w:tc>
      </w:tr>
    </w:tbl>
    <w:p>
      <w:pPr>
        <w:spacing w:before="0" w:after="80"/>
      </w:pPr>
    </w:p>
    <w:p>
      <w:pPr>
        <w:pStyle w:val="Heading1"/>
        <w:keepNext/>
        <w:spacing w:before="280" w:after="120"/>
      </w:pPr>
      <w:r>
        <w:rPr>
          <w:rFonts w:ascii="Calibri" w:hAnsi="Calibri"/>
          <w:b/>
          <w:color w:val="0E4D92"/>
          <w:sz w:val="32"/>
        </w:rPr>
        <w:t>20. Important Code Files &amp; Repository Walkthrough</w:t>
      </w:r>
    </w:p>
    <w:p>
      <w:pPr>
        <w:spacing w:before="0" w:after="80" w:line="276" w:lineRule="auto"/>
      </w:pPr>
      <w:r>
        <w:rPr>
          <w:rFonts w:ascii="Calibri" w:hAnsi="Calibri"/>
          <w:color w:val="2C3E50"/>
          <w:sz w:val="20"/>
        </w:rPr>
        <w:t>If the examiner asks you to open VS Code and walk through the codebase, here are the 10 most critical files, their exact roles, and how to explain them with confidence:</w:t>
      </w:r>
    </w:p>
    <w:tbl>
      <w:tblPr>
        <w:tblW w:type="auto" w:w="0"/>
        <w:jc w:val="center"/>
        <w:tblLayout w:type="fixed"/>
        <w:tblLook w:firstColumn="1" w:firstRow="1" w:lastColumn="0" w:lastRow="0" w:noHBand="0" w:noVBand="1" w:val="04A0"/>
      </w:tblPr>
      <w:tblGrid>
        <w:gridCol w:w="2880"/>
        <w:gridCol w:w="2592"/>
        <w:gridCol w:w="2160"/>
        <w:gridCol w:w="2448"/>
      </w:tblGrid>
      <w:tr>
        <w:tc>
          <w:tcPr>
            <w:tcW w:type="dxa" w:w="288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File Path</w:t>
            </w:r>
          </w:p>
        </w:tc>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Primary Responsibility</w:t>
            </w:r>
          </w:p>
        </w:tc>
        <w:tc>
          <w:tcPr>
            <w:tcW w:type="dxa" w:w="216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Key Functions / Classes</w:t>
            </w:r>
          </w:p>
        </w:tc>
        <w:tc>
          <w:tcPr>
            <w:tcW w:type="dxa" w:w="2448"/>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How to Explain to Mam</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backend/app/services/retrieval.py</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Core Hybrid Retrieval &amp; Reranking Engine</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hybrid_search(), reciprocal_rank_fusion(), rerank_candidates()</w:t>
            </w:r>
          </w:p>
        </w:tc>
        <w:tc>
          <w:tcPr>
            <w:tcW w:type="dxa" w:w="244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This is our search backbone. It runs BM25 lexical search and ChromaDB dense vector queries concurrently, fuses them with RRF k=60, and calls bge-reranker-base.</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backend/app/services/assistant/enhanced_rag.py</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Orchestrates Verified RAG &amp; Context Caching</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synthesize_with_verification(), build_grounded_prompt(), format_citations()</w:t>
            </w:r>
          </w:p>
        </w:tc>
        <w:tc>
          <w:tcPr>
            <w:tcW w:type="dxa" w:w="244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Controls the end-to-end synthesis lifecycle. Enforces chunk-key constraints on Gemini Flash, calls the claim verifier, and generates provenance ledgers.</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backend/app/services/assistant/claim_verifier.py</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Two-Stage PROVE Verification Logic</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verify_claim(), compute_token_overlap(), evaluate_nli_entailment()</w:t>
            </w:r>
          </w:p>
        </w:tc>
        <w:tc>
          <w:tcPr>
            <w:tcW w:type="dxa" w:w="244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brain of our audit pipeline. Fast-paths verbatim text via 80% token overlap, and uses structured NLI prompts to classify claims into 4 evidentiary states.</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backend/app/services/assistant/citation_repair.py</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Conservative Citation Re-Attribution</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attempt_citation_repair(), find_best_entailing_chunk()</w:t>
            </w:r>
          </w:p>
        </w:tc>
        <w:tc>
          <w:tcPr>
            <w:tcW w:type="dxa" w:w="244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Inspects unsupported or missing citations. Searches strictly within the retrieved candidate context. Refuses to fabricate citations if no chunk entails the claim.</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backend/app/services/assistant/comparison_engine.py</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Multi-Paper 10-Dimension Matrix Builder</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generate_comparison_matrix(), extract_paper_dimension_cells()</w:t>
            </w:r>
          </w:p>
        </w:tc>
        <w:tc>
          <w:tcPr>
            <w:tcW w:type="dxa" w:w="244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Constructs side-by-side paper matrices. Keeps each paper's context in an isolated envelope so results from one paper never contaminate another.</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backend/app/services/document_service.py</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PDF Ingestion &amp; Document-Only Collections</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ingest_pdf(), parse_text_fitz(), create_ephemeral_collection()</w:t>
            </w:r>
          </w:p>
        </w:tc>
        <w:tc>
          <w:tcPr>
            <w:tcW w:type="dxa" w:w="244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Parses uploaded PDF manuscripts using PyMuPDF (fitz), splits into 500-token chunks, and embeds them into a dedicated ChromaDB collection with zero global leakage.</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src/pages/HybridSearchPage.tsx</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Research Explorer UI Component</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handleSearch(), handleAskAIHandoff(), filterByDomain()</w:t>
            </w:r>
          </w:p>
        </w:tc>
        <w:tc>
          <w:tcPr>
            <w:tcW w:type="dxa" w:w="244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search interface. Renders paper cards, snippet highlights, reranking scores, and seamlessly hands off cached context to the Assistant.</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src/pages/AssistantPage.tsx</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Interactive Synthesis &amp; Dialogue Workspace</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renderSynthesis(), toggleProofDrawer(), handleFeedback()</w:t>
            </w:r>
          </w:p>
        </w:tc>
        <w:tc>
          <w:tcPr>
            <w:tcW w:type="dxa" w:w="244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The chat and synthesis interface. Displays streaming LLM responses, verified badges, citations, and triggers the provenance drawer.</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src/components/assistant/ClaimProofDrawer.tsx</w:t>
            </w:r>
          </w:p>
        </w:tc>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XAI Provenance Slide-Out Drawer</w:t>
            </w:r>
          </w:p>
        </w:tc>
        <w:tc>
          <w:tcPr>
            <w:tcW w:type="dxa" w:w="216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ClaimProofDrawer(), renderEvidenceSnippet(), copyHash()</w:t>
            </w:r>
          </w:p>
        </w:tc>
        <w:tc>
          <w:tcPr>
            <w:tcW w:type="dxa" w:w="2448"/>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Our explainability visualizer. Shows exact retrieved text chunks, cosine similarities, cross-encoder logits, and SHA-256 integrity hashes.</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src/pages/ComparisonPage.tsx</w:t>
            </w:r>
          </w:p>
        </w:tc>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Multi-Paper Comparison UI</w:t>
            </w:r>
          </w:p>
        </w:tc>
        <w:tc>
          <w:tcPr>
            <w:tcW w:type="dxa" w:w="216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ComparisonMatrixTable(), exportMatrixToCSV()</w:t>
            </w:r>
          </w:p>
        </w:tc>
        <w:tc>
          <w:tcPr>
            <w:tcW w:type="dxa" w:w="2448"/>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Renders the 10-dimension comparison matrix with sticky headers, dimension filters, and export options.</w:t>
            </w:r>
          </w:p>
        </w:tc>
      </w:tr>
    </w:tbl>
    <w:p>
      <w:pPr>
        <w:spacing w:before="0" w:after="80"/>
      </w:pPr>
    </w:p>
    <w:p>
      <w:pPr>
        <w:spacing w:before="0" w:after="80" w:line="276" w:lineRule="auto"/>
      </w:pPr>
      <w:r>
        <w:rPr>
          <w:rFonts w:ascii="Calibri" w:hAnsi="Calibri"/>
          <w:color w:val="2C3E50"/>
          <w:sz w:val="20"/>
        </w:rPr>
        <w:t>Key Implementation Snippet: Reciprocal Rank Fusion &amp; Cross-Encoder Reranking in `backend/app/services/retrieval.py`:</w:t>
      </w:r>
    </w:p>
    <w:p>
      <w:pPr>
        <w:spacing w:before="80" w:after="40"/>
      </w:pPr>
      <w:r>
        <w:rPr>
          <w:rFonts w:ascii="Calibri" w:hAnsi="Calibri"/>
          <w:b/>
          <w:color w:val="1B4F72"/>
          <w:sz w:val="19"/>
        </w:rPr>
        <w:t>Code Listing: Hybrid Fusion &amp; Reranking Implementation</w:t>
      </w:r>
    </w:p>
    <w:tbl>
      <w:tblPr>
        <w:tblW w:type="auto" w:w="0"/>
        <w:jc w:val="center"/>
        <w:tblLayout w:type="fixed"/>
        <w:tblLook w:firstColumn="1" w:firstRow="1" w:lastColumn="0" w:lastRow="0" w:noHBand="0" w:noVBand="1" w:val="04A0"/>
      </w:tblPr>
      <w:tblGrid>
        <w:gridCol w:w="9792"/>
      </w:tblGrid>
      <w:tr>
        <w:tc>
          <w:tcPr>
            <w:tcW w:type="dxa" w:w="10080"/>
            <w:shd w:fill="F4F6F7"/>
            <w:tcBorders>
              <w:left w:val="single" w:sz="18" w:space="0" w:color="7F8C8D"/>
              <w:top w:val="single" w:sz="4" w:space="0" w:color="BDC3C7"/>
              <w:right w:val="single" w:sz="4" w:space="0" w:color="BDC3C7"/>
              <w:bottom w:val="single" w:sz="4" w:space="0" w:color="BDC3C7"/>
            </w:tcBorders>
          </w:tcPr>
          <w:p>
            <w:pPr>
              <w:spacing w:before="60" w:after="60"/>
            </w:pPr>
            <w:r>
              <w:rPr>
                <w:rFonts w:ascii="Consolas" w:hAnsi="Consolas"/>
                <w:color w:val="212F3D"/>
                <w:sz w:val="17"/>
              </w:rPr>
              <w:t>def reciprocal_rank_fusion(bm25_ranks: dict, dense_ranks: dict, k: int = 60) -&gt; list:</w:t>
              <w:br/>
              <w:t xml:space="preserve">    rrf_scores = defaultdict(float)</w:t>
              <w:br/>
              <w:t xml:space="preserve">    for doc_id, rank in bm25_ranks.items():</w:t>
              <w:br/>
              <w:t xml:space="preserve">        rrf_scores[doc_id] += 1.0 / (k + rank)</w:t>
              <w:br/>
              <w:t xml:space="preserve">    for doc_id, rank in dense_ranks.items():</w:t>
              <w:br/>
              <w:t xml:space="preserve">        rrf_scores[doc_id] += 1.0 / (k + rank)</w:t>
              <w:br/>
              <w:t xml:space="preserve">    return sorted(rrf_scores.items(), key=lambda x: x[1], reverse=True)</w:t>
              <w:br/>
              <w:br/>
              <w:t>def rerank_candidates(query: str, candidates: list[Chunk], top_k: int = 10) -&gt; list[Chunk]:</w:t>
              <w:br/>
              <w:t xml:space="preserve">    pairs = [[query, chunk.text] for chunk in candidates]</w:t>
              <w:br/>
              <w:t xml:space="preserve">    scores = cross_encoder.predict(pairs)  # BAAI/bge-reranker-base</w:t>
              <w:br/>
              <w:t xml:space="preserve">    for chunk, score in zip(candidates, scores):</w:t>
              <w:br/>
              <w:t xml:space="preserve">        chunk.rerank_score = float(score)</w:t>
              <w:br/>
              <w:t xml:space="preserve">    return sorted(candidates, key=lambda c: c.rerank_score, reverse=True)[:top_k]</w:t>
            </w:r>
          </w:p>
        </w:tc>
      </w:tr>
    </w:tbl>
    <w:p>
      <w:pPr>
        <w:spacing w:before="0" w:after="80"/>
      </w:pPr>
    </w:p>
    <w:p>
      <w:pPr>
        <w:pStyle w:val="Heading1"/>
        <w:keepNext/>
        <w:spacing w:before="280" w:after="120"/>
      </w:pPr>
      <w:r>
        <w:rPr>
          <w:rFonts w:ascii="Calibri" w:hAnsi="Calibri"/>
          <w:b/>
          <w:color w:val="0E4D92"/>
          <w:sz w:val="32"/>
        </w:rPr>
        <w:t>21. Evaluation Metrics &amp; Verified Numbers: ds_nexus_v11 Benchmark (N=100)</w:t>
      </w:r>
    </w:p>
    <w:p>
      <w:pPr>
        <w:spacing w:before="0" w:after="80" w:line="276" w:lineRule="auto"/>
      </w:pPr>
      <w:r>
        <w:rPr>
          <w:rFonts w:ascii="Calibri" w:hAnsi="Calibri"/>
          <w:color w:val="2C3E50"/>
          <w:sz w:val="20"/>
        </w:rPr>
        <w:t>All evaluation metrics reported below are extracted directly from our frozen benchmark execution (`ds_nexus_v11`, N=100 queries) across validation (80 queries) and test (20 queries) splits. DO NOT invent or approximate any other numbers:</w:t>
      </w:r>
    </w:p>
    <w:tbl>
      <w:tblPr>
        <w:tblW w:type="auto" w:w="0"/>
        <w:jc w:val="center"/>
        <w:tblLayout w:type="fixed"/>
        <w:tblLook w:firstColumn="1" w:firstRow="1" w:lastColumn="0" w:lastRow="0" w:noHBand="0" w:noVBand="1" w:val="04A0"/>
      </w:tblPr>
      <w:tblGrid>
        <w:gridCol w:w="2880"/>
        <w:gridCol w:w="1440"/>
        <w:gridCol w:w="1440"/>
        <w:gridCol w:w="1584"/>
        <w:gridCol w:w="1584"/>
        <w:gridCol w:w="1440"/>
      </w:tblGrid>
      <w:tr>
        <w:tc>
          <w:tcPr>
            <w:tcW w:type="dxa" w:w="288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Retrieval Pipeline / Model</w:t>
            </w:r>
          </w:p>
        </w:tc>
        <w:tc>
          <w:tcPr>
            <w:tcW w:type="dxa" w:w="144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Recall@5</w:t>
            </w:r>
          </w:p>
        </w:tc>
        <w:tc>
          <w:tcPr>
            <w:tcW w:type="dxa" w:w="144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Recall@10</w:t>
            </w:r>
          </w:p>
        </w:tc>
        <w:tc>
          <w:tcPr>
            <w:tcW w:type="dxa" w:w="1584"/>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Recall@20 (ALL)</w:t>
            </w:r>
          </w:p>
        </w:tc>
        <w:tc>
          <w:tcPr>
            <w:tcW w:type="dxa" w:w="1584"/>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Recall@20 (TEST)</w:t>
            </w:r>
          </w:p>
        </w:tc>
        <w:tc>
          <w:tcPr>
            <w:tcW w:type="dxa" w:w="144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Median Latency</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BM25 Lexical Baseline</w:t>
            </w:r>
          </w:p>
        </w:tc>
        <w:tc>
          <w:tcPr>
            <w:tcW w:type="dxa" w:w="144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0.6200</w:t>
            </w:r>
          </w:p>
        </w:tc>
        <w:tc>
          <w:tcPr>
            <w:tcW w:type="dxa" w:w="144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0.7600</w:t>
            </w:r>
          </w:p>
        </w:tc>
        <w:tc>
          <w:tcPr>
            <w:tcW w:type="dxa" w:w="158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0.8800</w:t>
            </w:r>
          </w:p>
        </w:tc>
        <w:tc>
          <w:tcPr>
            <w:tcW w:type="dxa" w:w="158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0.9333</w:t>
            </w:r>
          </w:p>
        </w:tc>
        <w:tc>
          <w:tcPr>
            <w:tcW w:type="dxa" w:w="144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42.1 ms</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Dense BGE Embeddings</w:t>
            </w:r>
          </w:p>
        </w:tc>
        <w:tc>
          <w:tcPr>
            <w:tcW w:type="dxa" w:w="144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0.6800</w:t>
            </w:r>
          </w:p>
        </w:tc>
        <w:tc>
          <w:tcPr>
            <w:tcW w:type="dxa" w:w="144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0.8100</w:t>
            </w:r>
          </w:p>
        </w:tc>
        <w:tc>
          <w:tcPr>
            <w:tcW w:type="dxa" w:w="158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0.9000</w:t>
            </w:r>
          </w:p>
        </w:tc>
        <w:tc>
          <w:tcPr>
            <w:tcW w:type="dxa" w:w="158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0.9000</w:t>
            </w:r>
          </w:p>
        </w:tc>
        <w:tc>
          <w:tcPr>
            <w:tcW w:type="dxa" w:w="144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118.5 ms</w:t>
            </w:r>
          </w:p>
        </w:tc>
      </w:tr>
      <w:tr>
        <w:tc>
          <w:tcPr>
            <w:tcW w:type="dxa" w:w="288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Hybrid RRF (k=60)</w:t>
            </w:r>
          </w:p>
        </w:tc>
        <w:tc>
          <w:tcPr>
            <w:tcW w:type="dxa" w:w="144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0.7900</w:t>
            </w:r>
          </w:p>
        </w:tc>
        <w:tc>
          <w:tcPr>
            <w:tcW w:type="dxa" w:w="144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0.8900</w:t>
            </w:r>
          </w:p>
        </w:tc>
        <w:tc>
          <w:tcPr>
            <w:tcW w:type="dxa" w:w="158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0.9500</w:t>
            </w:r>
          </w:p>
        </w:tc>
        <w:tc>
          <w:tcPr>
            <w:tcW w:type="dxa" w:w="1584"/>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1.0000</w:t>
            </w:r>
          </w:p>
        </w:tc>
        <w:tc>
          <w:tcPr>
            <w:tcW w:type="dxa" w:w="144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162.8 ms</w:t>
            </w:r>
          </w:p>
        </w:tc>
      </w:tr>
      <w:tr>
        <w:tc>
          <w:tcPr>
            <w:tcW w:type="dxa" w:w="288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Hybrid + Neural Reranker</w:t>
            </w:r>
          </w:p>
        </w:tc>
        <w:tc>
          <w:tcPr>
            <w:tcW w:type="dxa" w:w="144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0.8400</w:t>
            </w:r>
          </w:p>
        </w:tc>
        <w:tc>
          <w:tcPr>
            <w:tcW w:type="dxa" w:w="144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0.9200</w:t>
            </w:r>
          </w:p>
        </w:tc>
        <w:tc>
          <w:tcPr>
            <w:tcW w:type="dxa" w:w="158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0.9500</w:t>
            </w:r>
          </w:p>
        </w:tc>
        <w:tc>
          <w:tcPr>
            <w:tcW w:type="dxa" w:w="1584"/>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1.0000</w:t>
            </w:r>
          </w:p>
        </w:tc>
        <w:tc>
          <w:tcPr>
            <w:tcW w:type="dxa" w:w="144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531.4 ms</w:t>
            </w:r>
          </w:p>
        </w:tc>
      </w:tr>
    </w:tbl>
    <w:p>
      <w:pPr>
        <w:spacing w:before="0" w:after="80"/>
      </w:pPr>
    </w:p>
    <w:p>
      <w:pPr>
        <w:spacing w:before="0" w:after="80" w:line="276" w:lineRule="auto"/>
      </w:pPr>
      <w:r>
        <w:rPr>
          <w:rFonts w:ascii="Calibri" w:hAnsi="Calibri"/>
          <w:color w:val="2C3E50"/>
          <w:sz w:val="20"/>
        </w:rPr>
        <w:t>Detailed System Grounding, Verification, and Latency Metrics:</w:t>
        <w:br/>
        <w:t>• Provenance Trace Rate: 100.0% (202 / 202 claims linked to exact chunk provenance with SHA-256 hashes).</w:t>
        <w:br/>
        <w:t>• Deterministic Overlap Pre-filter: 31.2% of claims verified instantly via token overlap (theta &gt;= 0.80) in under 5ms.</w:t>
        <w:br/>
        <w:t>• Reranking Latency: Median = 531.41 ms (p50), 90th percentile = 642.10 ms (p90).</w:t>
        <w:br/>
        <w:t>• Iterative Refinement Trade-off (E07 Experiment): Enabling multi-turn iterative re-synthesis increased total response latency by 2.2x (12,656 ms vs 5,691 ms) without statistically significant grounding recovery under distractor context (p = 1.000). Consequently, ResearchNexus AI adopts single-pass verified synthesis with targeted citation repair as its default production policy!</w:t>
      </w:r>
    </w:p>
    <w:p>
      <w:pPr>
        <w:pStyle w:val="Heading1"/>
        <w:keepNext/>
        <w:spacing w:before="280" w:after="120"/>
      </w:pPr>
      <w:r>
        <w:rPr>
          <w:rFonts w:ascii="Calibri" w:hAnsi="Calibri"/>
          <w:b/>
          <w:color w:val="0E4D92"/>
          <w:sz w:val="32"/>
        </w:rPr>
        <w:t>22. System Architecture &amp; Evaluation Diagrams</w:t>
      </w:r>
    </w:p>
    <w:p>
      <w:pPr>
        <w:spacing w:before="120" w:after="40"/>
        <w:jc w:val="center"/>
      </w:pPr>
    </w:p>
    <w:p>
      <w:r>
        <w:drawing>
          <wp:inline xmlns:a="http://schemas.openxmlformats.org/drawingml/2006/main" xmlns:pic="http://schemas.openxmlformats.org/drawingml/2006/picture">
            <wp:extent cx="5669280" cy="3480086"/>
            <wp:docPr id="1" name="Picture 1"/>
            <wp:cNvGraphicFramePr>
              <a:graphicFrameLocks noChangeAspect="1"/>
            </wp:cNvGraphicFramePr>
            <a:graphic>
              <a:graphicData uri="http://schemas.openxmlformats.org/drawingml/2006/picture">
                <pic:pic>
                  <pic:nvPicPr>
                    <pic:cNvPr id="0" name="fig01_researchnexus_architecture.png"/>
                    <pic:cNvPicPr/>
                  </pic:nvPicPr>
                  <pic:blipFill>
                    <a:blip r:embed="rId9"/>
                    <a:stretch>
                      <a:fillRect/>
                    </a:stretch>
                  </pic:blipFill>
                  <pic:spPr>
                    <a:xfrm>
                      <a:off x="0" y="0"/>
                      <a:ext cx="5669280" cy="3480086"/>
                    </a:xfrm>
                    <a:prstGeom prst="rect"/>
                  </pic:spPr>
                </pic:pic>
              </a:graphicData>
            </a:graphic>
          </wp:inline>
        </w:drawing>
      </w:r>
    </w:p>
    <w:p>
      <w:pPr>
        <w:spacing w:after="160"/>
        <w:jc w:val="center"/>
      </w:pPr>
      <w:r>
        <w:rPr>
          <w:i/>
          <w:sz w:val="17"/>
        </w:rPr>
        <w:t>Figure 1: ResearchNexus AI End-to-End System Architecture (Discovery, Synthesis, Verification, XAI)</w:t>
      </w:r>
    </w:p>
    <w:p>
      <w:pPr>
        <w:spacing w:before="120" w:after="40"/>
        <w:jc w:val="center"/>
      </w:pPr>
    </w:p>
    <w:p>
      <w:r>
        <w:drawing>
          <wp:inline xmlns:a="http://schemas.openxmlformats.org/drawingml/2006/main" xmlns:pic="http://schemas.openxmlformats.org/drawingml/2006/picture">
            <wp:extent cx="5303520" cy="3799747"/>
            <wp:docPr id="2" name="Picture 2"/>
            <wp:cNvGraphicFramePr>
              <a:graphicFrameLocks noChangeAspect="1"/>
            </wp:cNvGraphicFramePr>
            <a:graphic>
              <a:graphicData uri="http://schemas.openxmlformats.org/drawingml/2006/picture">
                <pic:pic>
                  <pic:nvPicPr>
                    <pic:cNvPr id="0" name="fig02_retrieval_performance.png"/>
                    <pic:cNvPicPr/>
                  </pic:nvPicPr>
                  <pic:blipFill>
                    <a:blip r:embed="rId10"/>
                    <a:stretch>
                      <a:fillRect/>
                    </a:stretch>
                  </pic:blipFill>
                  <pic:spPr>
                    <a:xfrm>
                      <a:off x="0" y="0"/>
                      <a:ext cx="5303520" cy="3799747"/>
                    </a:xfrm>
                    <a:prstGeom prst="rect"/>
                  </pic:spPr>
                </pic:pic>
              </a:graphicData>
            </a:graphic>
          </wp:inline>
        </w:drawing>
      </w:r>
    </w:p>
    <w:p>
      <w:pPr>
        <w:spacing w:after="160"/>
        <w:jc w:val="center"/>
      </w:pPr>
      <w:r>
        <w:rPr>
          <w:i/>
          <w:sz w:val="17"/>
        </w:rPr>
        <w:t>Figure 2: Candidate Retrieval Recall Across BM25, Dense, Hybrid RRF, and Neural Reranking</w:t>
      </w:r>
    </w:p>
    <w:p>
      <w:pPr>
        <w:pStyle w:val="Heading1"/>
        <w:keepNext/>
        <w:spacing w:before="280" w:after="120"/>
      </w:pPr>
      <w:r>
        <w:rPr>
          <w:rFonts w:ascii="Calibri" w:hAnsi="Calibri"/>
          <w:b/>
          <w:color w:val="0E4D92"/>
          <w:sz w:val="32"/>
        </w:rPr>
        <w:t>23. Comprehensive Viva Questions &amp; Expert Answers (40+ Questions)</w:t>
      </w:r>
    </w:p>
    <w:p>
      <w:pPr>
        <w:spacing w:before="0" w:after="80" w:line="276" w:lineRule="auto"/>
      </w:pPr>
      <w:r>
        <w:rPr>
          <w:rFonts w:ascii="Calibri" w:hAnsi="Calibri"/>
          <w:color w:val="2C3E50"/>
          <w:sz w:val="20"/>
        </w:rPr>
        <w:t>Examiners frequently test whether you truly understand the algorithmic engineering beneath your user interface. Below are 40+ categorized questions with a Quick One-Line Summary, a Technical Explanation, and the Core Principle.</w:t>
      </w:r>
    </w:p>
    <w:p>
      <w:pPr>
        <w:pStyle w:val="Heading2"/>
        <w:keepNext/>
        <w:spacing w:before="200" w:after="80"/>
      </w:pPr>
      <w:r>
        <w:rPr>
          <w:rFonts w:ascii="Calibri" w:hAnsi="Calibri"/>
          <w:b/>
          <w:color w:val="1B4F72"/>
          <w:sz w:val="26"/>
        </w:rPr>
        <w:t>Category A: Retrieval, Embeddings &amp; Reranking</w:t>
      </w:r>
    </w:p>
    <w:p>
      <w:pPr>
        <w:pStyle w:val="Heading3"/>
        <w:keepNext/>
        <w:spacing w:before="120" w:after="40"/>
      </w:pPr>
      <w:r>
        <w:rPr>
          <w:rFonts w:ascii="Calibri" w:hAnsi="Calibri"/>
          <w:b/>
          <w:color w:val="2C3E50"/>
          <w:sz w:val="22"/>
        </w:rPr>
        <w:t>Q1. Why use Hybrid Search instead of pure vector search?</w:t>
      </w:r>
    </w:p>
    <w:p>
      <w:pPr>
        <w:spacing w:before="0" w:after="80" w:line="276" w:lineRule="auto"/>
      </w:pPr>
      <w:r>
        <w:rPr>
          <w:rFonts w:ascii="Calibri" w:hAnsi="Calibri"/>
          <w:b/>
          <w:color w:val="1A252C"/>
          <w:sz w:val="20"/>
        </w:rPr>
        <w:t xml:space="preserve">One-Line Answer: </w:t>
      </w:r>
      <w:r>
        <w:rPr>
          <w:rFonts w:ascii="Calibri" w:hAnsi="Calibri"/>
          <w:color w:val="2C3E50"/>
          <w:sz w:val="20"/>
        </w:rPr>
        <w:t>Because pure vector search misses exact keywords, acronyms, and dataset names, while BM25 misses conceptual synonyms. Hybrid search captures both.</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Dense bi-encoder embeddings (like BGE-1.5) project sentences into semantic clusters. They understand that 'image classification' is related to 'vision transformer', but they struggle with out-of-vocabulary acronyms (e.g. 'LoRA-v2'), specific author names, or numerical hyperparameters. BM25 indexes inverted term frequencies, guaranteeing lexical precision. Combining both gives optimal candidate recall.</w:t>
      </w:r>
    </w:p>
    <w:p>
      <w:pPr>
        <w:pStyle w:val="Heading3"/>
        <w:keepNext/>
        <w:spacing w:before="120" w:after="40"/>
      </w:pPr>
      <w:r>
        <w:rPr>
          <w:rFonts w:ascii="Calibri" w:hAnsi="Calibri"/>
          <w:b/>
          <w:color w:val="2C3E50"/>
          <w:sz w:val="22"/>
        </w:rPr>
        <w:t>Q2. What is Reciprocal Rank Fusion (RRF) and why is k=60 chosen?</w:t>
      </w:r>
    </w:p>
    <w:p>
      <w:pPr>
        <w:spacing w:before="0" w:after="80" w:line="276" w:lineRule="auto"/>
      </w:pPr>
      <w:r>
        <w:rPr>
          <w:rFonts w:ascii="Calibri" w:hAnsi="Calibri"/>
          <w:b/>
          <w:color w:val="1A252C"/>
          <w:sz w:val="20"/>
        </w:rPr>
        <w:t xml:space="preserve">One-Line Answer: </w:t>
      </w:r>
      <w:r>
        <w:rPr>
          <w:rFonts w:ascii="Calibri" w:hAnsi="Calibri"/>
          <w:color w:val="2C3E50"/>
          <w:sz w:val="20"/>
        </w:rPr>
        <w:t>RRF merges rankings from multiple search systems without needing score normalization, using constant k=60 to prevent top ranks from dominating disproportionately.</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BM25 produces unbounded positive scores (0 to 35+), whereas cosine similarity outputs normalized values between -1 and 1. Merging them via linear score addition requires fragile calibration. RRF uses ordinal ranks instead: Score = sum(1 / (k + rank)). The parameter k=60 (established by Cormack et al., SIGIR) ensures that a document ranked #1 by one retriever doesn't overwhelmingly crush a document ranked #2 by both retrievers.</w:t>
      </w:r>
    </w:p>
    <w:p>
      <w:pPr>
        <w:pStyle w:val="Heading3"/>
        <w:keepNext/>
        <w:spacing w:before="120" w:after="40"/>
      </w:pPr>
      <w:r>
        <w:rPr>
          <w:rFonts w:ascii="Calibri" w:hAnsi="Calibri"/>
          <w:b/>
          <w:color w:val="2C3E50"/>
          <w:sz w:val="22"/>
        </w:rPr>
        <w:t>Q3. What is the difference between a Bi-Encoder and a Cross-Encoder?</w:t>
      </w:r>
    </w:p>
    <w:p>
      <w:pPr>
        <w:spacing w:before="0" w:after="80" w:line="276" w:lineRule="auto"/>
      </w:pPr>
      <w:r>
        <w:rPr>
          <w:rFonts w:ascii="Calibri" w:hAnsi="Calibri"/>
          <w:b/>
          <w:color w:val="1A252C"/>
          <w:sz w:val="20"/>
        </w:rPr>
        <w:t xml:space="preserve">One-Line Answer: </w:t>
      </w:r>
      <w:r>
        <w:rPr>
          <w:rFonts w:ascii="Calibri" w:hAnsi="Calibri"/>
          <w:color w:val="2C3E50"/>
          <w:sz w:val="20"/>
        </w:rPr>
        <w:t>A bi-encoder embeds queries and documents independently for fast ANN search; a cross-encoder processes query and document together to compute full cross-attention.</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Bi-encoders (bge-base-en-v1.5) encode text into fixed 768-dimensional vectors. Similarity is a simple dot product computed in microseconds over 26,000 chunks. Cross-encoders (bge-reranker-base) feed the concatenated string [CLS] Query [SEP] Chunk into a 12-layer transformer, allowing full token-to-token attention. This resolves negations, subtle conditions, and complex scientific claims that cosine distance misses.</w:t>
      </w:r>
    </w:p>
    <w:p>
      <w:pPr>
        <w:pStyle w:val="Heading3"/>
        <w:keepNext/>
        <w:spacing w:before="120" w:after="40"/>
      </w:pPr>
      <w:r>
        <w:rPr>
          <w:rFonts w:ascii="Calibri" w:hAnsi="Calibri"/>
          <w:b/>
          <w:color w:val="2C3E50"/>
          <w:sz w:val="22"/>
        </w:rPr>
        <w:t>Q4. What is the reranker latency overhead in your system?</w:t>
      </w:r>
    </w:p>
    <w:p>
      <w:pPr>
        <w:spacing w:before="0" w:after="80" w:line="276" w:lineRule="auto"/>
      </w:pPr>
      <w:r>
        <w:rPr>
          <w:rFonts w:ascii="Calibri" w:hAnsi="Calibri"/>
          <w:b/>
          <w:color w:val="1A252C"/>
          <w:sz w:val="20"/>
        </w:rPr>
        <w:t xml:space="preserve">One-Line Answer: </w:t>
      </w:r>
      <w:r>
        <w:rPr>
          <w:rFonts w:ascii="Calibri" w:hAnsi="Calibri"/>
          <w:color w:val="2C3E50"/>
          <w:sz w:val="20"/>
        </w:rPr>
        <w:t>Our cross-encoder reranking has a median latency of 531.41 ms and a 90th percentile of 642.10 ms over 20 candidate chunks.</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Evaluating 20 candidate pairs through a 110M-parameter cross-encoder requires forward passes over ~512 tokens. On local GPU/CPU hardware, this takes approximately half a second, which is imperceptible to an academic user awaiting a comprehensive synthesis.</w:t>
      </w:r>
    </w:p>
    <w:p>
      <w:pPr>
        <w:pStyle w:val="Heading3"/>
        <w:keepNext/>
        <w:spacing w:before="120" w:after="40"/>
      </w:pPr>
      <w:r>
        <w:rPr>
          <w:rFonts w:ascii="Calibri" w:hAnsi="Calibri"/>
          <w:b/>
          <w:color w:val="2C3E50"/>
          <w:sz w:val="22"/>
        </w:rPr>
        <w:t>Q5. How large is your offline corpus and chunking configuration?</w:t>
      </w:r>
    </w:p>
    <w:p>
      <w:pPr>
        <w:spacing w:before="0" w:after="80" w:line="276" w:lineRule="auto"/>
      </w:pPr>
      <w:r>
        <w:rPr>
          <w:rFonts w:ascii="Calibri" w:hAnsi="Calibri"/>
          <w:b/>
          <w:color w:val="1A252C"/>
          <w:sz w:val="20"/>
        </w:rPr>
        <w:t xml:space="preserve">One-Line Answer: </w:t>
      </w:r>
      <w:r>
        <w:rPr>
          <w:rFonts w:ascii="Calibri" w:hAnsi="Calibri"/>
          <w:color w:val="2C3E50"/>
          <w:sz w:val="20"/>
        </w:rPr>
        <w:t>Our local corpus contains 687 research papers, parsed into ~26,200 chunks using 500-token windows with 50-token overlap.</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PyMuPDF extracts text streams from PDF files. LlamaIndex sentence splitters break text into 500-token passages with a 50-token sliding overlap. This overlap guarantees that sentences spanning boundary edges are not bisected, preserving semantic context across adjacent vectors.</w:t>
      </w:r>
    </w:p>
    <w:p>
      <w:pPr>
        <w:pStyle w:val="Heading2"/>
        <w:keepNext/>
        <w:spacing w:before="200" w:after="80"/>
      </w:pPr>
      <w:r>
        <w:rPr>
          <w:rFonts w:ascii="Calibri" w:hAnsi="Calibri"/>
          <w:b/>
          <w:color w:val="1B4F72"/>
          <w:sz w:val="26"/>
        </w:rPr>
        <w:t>Category B: Generative Synthesis &amp; Claim Verification</w:t>
      </w:r>
    </w:p>
    <w:p>
      <w:pPr>
        <w:pStyle w:val="Heading3"/>
        <w:keepNext/>
        <w:spacing w:before="120" w:after="40"/>
      </w:pPr>
      <w:r>
        <w:rPr>
          <w:rFonts w:ascii="Calibri" w:hAnsi="Calibri"/>
          <w:b/>
          <w:color w:val="2C3E50"/>
          <w:sz w:val="22"/>
        </w:rPr>
        <w:t>Q6. How does ResearchNexus AI prevent LLM hallucinations?</w:t>
      </w:r>
    </w:p>
    <w:p>
      <w:pPr>
        <w:spacing w:before="0" w:after="80" w:line="276" w:lineRule="auto"/>
      </w:pPr>
      <w:r>
        <w:rPr>
          <w:rFonts w:ascii="Calibri" w:hAnsi="Calibri"/>
          <w:b/>
          <w:color w:val="1A252C"/>
          <w:sz w:val="20"/>
        </w:rPr>
        <w:t xml:space="preserve">One-Line Answer: </w:t>
      </w:r>
      <w:r>
        <w:rPr>
          <w:rFonts w:ascii="Calibri" w:hAnsi="Calibri"/>
          <w:color w:val="2C3E50"/>
          <w:sz w:val="20"/>
        </w:rPr>
        <w:t>Through strict chunk-key prompt grounding and a post-generation two-stage claim audit (deterministic overlap + semantic NLI).</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We do not trust the raw LLM output. The prompt forces Gemini 2.5 Flash to attribute every assertion to specific chunk keys. The PROVE engine then decomposes the generated text into atomic statements, fast-checks verbatim text with an 80% token overlap metric, and evaluates remaining claims using structured NLI entailment.</w:t>
      </w:r>
    </w:p>
    <w:p>
      <w:pPr>
        <w:pStyle w:val="Heading3"/>
        <w:keepNext/>
        <w:spacing w:before="120" w:after="40"/>
      </w:pPr>
      <w:r>
        <w:rPr>
          <w:rFonts w:ascii="Calibri" w:hAnsi="Calibri"/>
          <w:b/>
          <w:color w:val="2C3E50"/>
          <w:sz w:val="22"/>
        </w:rPr>
        <w:t>Q7. What are the four states of your Claim Verification Engine?</w:t>
      </w:r>
    </w:p>
    <w:p>
      <w:pPr>
        <w:spacing w:before="0" w:after="80" w:line="276" w:lineRule="auto"/>
      </w:pPr>
      <w:r>
        <w:rPr>
          <w:rFonts w:ascii="Calibri" w:hAnsi="Calibri"/>
          <w:b/>
          <w:color w:val="1A252C"/>
          <w:sz w:val="20"/>
        </w:rPr>
        <w:t xml:space="preserve">One-Line Answer: </w:t>
      </w:r>
      <w:r>
        <w:rPr>
          <w:rFonts w:ascii="Calibri" w:hAnsi="Calibri"/>
          <w:color w:val="2C3E50"/>
          <w:sz w:val="20"/>
        </w:rPr>
        <w:t>SUPPORTED, PARTIALLY_SUPPORTED, UNSUPPORTED, and CONTRADICTED.</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SUPPORTED indicates direct factual entailment. PARTIALLY_SUPPORTED indicates qualitative alignment but missing quantitative precision. UNSUPPORTED indicates the evidence chunk does not mention the claim. CONTRADICTED indicates the source evidence explicitly refutes the generated statement.</w:t>
      </w:r>
    </w:p>
    <w:p>
      <w:pPr>
        <w:pStyle w:val="Heading3"/>
        <w:keepNext/>
        <w:spacing w:before="120" w:after="40"/>
      </w:pPr>
      <w:r>
        <w:rPr>
          <w:rFonts w:ascii="Calibri" w:hAnsi="Calibri"/>
          <w:b/>
          <w:color w:val="2C3E50"/>
          <w:sz w:val="22"/>
        </w:rPr>
        <w:t>Q8. Why use a deterministic token overlap pre-filter before LLM verification?</w:t>
      </w:r>
    </w:p>
    <w:p>
      <w:pPr>
        <w:spacing w:before="0" w:after="80" w:line="276" w:lineRule="auto"/>
      </w:pPr>
      <w:r>
        <w:rPr>
          <w:rFonts w:ascii="Calibri" w:hAnsi="Calibri"/>
          <w:b/>
          <w:color w:val="1A252C"/>
          <w:sz w:val="20"/>
        </w:rPr>
        <w:t xml:space="preserve">One-Line Answer: </w:t>
      </w:r>
      <w:r>
        <w:rPr>
          <w:rFonts w:ascii="Calibri" w:hAnsi="Calibri"/>
          <w:color w:val="2C3E50"/>
          <w:sz w:val="20"/>
        </w:rPr>
        <w:t>To drastically cut latency and compute cost: 31.2% of claims are verbatim quotes verified in under 5ms without calling an LLM.</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If an extracted claim has an 80% or greater token intersection with the cited chunk, running a full NLI inference prompt is redundant. Fast-pathing these claims cuts total verification latency by nearly a third while preserving 100% precision.</w:t>
      </w:r>
    </w:p>
    <w:p>
      <w:pPr>
        <w:pStyle w:val="Heading3"/>
        <w:keepNext/>
        <w:spacing w:before="120" w:after="40"/>
      </w:pPr>
      <w:r>
        <w:rPr>
          <w:rFonts w:ascii="Calibri" w:hAnsi="Calibri"/>
          <w:b/>
          <w:color w:val="2C3E50"/>
          <w:sz w:val="22"/>
        </w:rPr>
        <w:t>Q9. What happens if a claim citation is found to be incorrect or missing?</w:t>
      </w:r>
    </w:p>
    <w:p>
      <w:pPr>
        <w:spacing w:before="0" w:after="80" w:line="276" w:lineRule="auto"/>
      </w:pPr>
      <w:r>
        <w:rPr>
          <w:rFonts w:ascii="Calibri" w:hAnsi="Calibri"/>
          <w:b/>
          <w:color w:val="1A252C"/>
          <w:sz w:val="20"/>
        </w:rPr>
        <w:t xml:space="preserve">One-Line Answer: </w:t>
      </w:r>
      <w:r>
        <w:rPr>
          <w:rFonts w:ascii="Calibri" w:hAnsi="Calibri"/>
          <w:color w:val="2C3E50"/>
          <w:sz w:val="20"/>
        </w:rPr>
        <w:t>Our Citation Repair module inspects only the retrieved candidates and re-attributes the citation only if another chunk strictly entails it; otherwise it safely abstains.</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Unlike naive tools that hallucinate alternative citations from the open web, our repair engine never searches outside the frozen candidate pool. If no retrieved chunk entails the claim, the citation tag is revoked to maintain academic honesty.</w:t>
      </w:r>
    </w:p>
    <w:p>
      <w:pPr>
        <w:pStyle w:val="Heading3"/>
        <w:keepNext/>
        <w:spacing w:before="120" w:after="40"/>
      </w:pPr>
      <w:r>
        <w:rPr>
          <w:rFonts w:ascii="Calibri" w:hAnsi="Calibri"/>
          <w:b/>
          <w:color w:val="2C3E50"/>
          <w:sz w:val="22"/>
        </w:rPr>
        <w:t>Q10. Why did your E07 evaluation recommend against iterative multi-turn refinement?</w:t>
      </w:r>
    </w:p>
    <w:p>
      <w:pPr>
        <w:spacing w:before="0" w:after="80" w:line="276" w:lineRule="auto"/>
      </w:pPr>
      <w:r>
        <w:rPr>
          <w:rFonts w:ascii="Calibri" w:hAnsi="Calibri"/>
          <w:b/>
          <w:color w:val="1A252C"/>
          <w:sz w:val="20"/>
        </w:rPr>
        <w:t xml:space="preserve">One-Line Answer: </w:t>
      </w:r>
      <w:r>
        <w:rPr>
          <w:rFonts w:ascii="Calibri" w:hAnsi="Calibri"/>
          <w:color w:val="2C3E50"/>
          <w:sz w:val="20"/>
        </w:rPr>
        <w:t>Because multi-turn iterative re-synthesis doubled latency (12.6s vs 5.6s) without statistically improving grounding under noisy contexts (p=1.000).</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When the initial retrieval pool contains distractor chunks, asking the LLM to iteratively critique and re-draft its text causes it to either repeat previous assumptions or smooth over discrepancies. Single-pass synthesis with targeted post-hoc verification proved faster and more reliable.</w:t>
      </w:r>
    </w:p>
    <w:p>
      <w:pPr>
        <w:pStyle w:val="Heading2"/>
        <w:keepNext/>
        <w:spacing w:before="200" w:after="80"/>
      </w:pPr>
      <w:r>
        <w:rPr>
          <w:rFonts w:ascii="Calibri" w:hAnsi="Calibri"/>
          <w:b/>
          <w:color w:val="1B4F72"/>
          <w:sz w:val="26"/>
        </w:rPr>
        <w:t>Category C: Architecture, Security &amp; Workflow</w:t>
      </w:r>
    </w:p>
    <w:p>
      <w:pPr>
        <w:pStyle w:val="Heading3"/>
        <w:keepNext/>
        <w:spacing w:before="120" w:after="40"/>
      </w:pPr>
      <w:r>
        <w:rPr>
          <w:rFonts w:ascii="Calibri" w:hAnsi="Calibri"/>
          <w:b/>
          <w:color w:val="2C3E50"/>
          <w:sz w:val="22"/>
        </w:rPr>
        <w:t>Q11. What is the Explorer-to-Assistant Cache Handoff?</w:t>
      </w:r>
    </w:p>
    <w:p>
      <w:pPr>
        <w:spacing w:before="0" w:after="80" w:line="276" w:lineRule="auto"/>
      </w:pPr>
      <w:r>
        <w:rPr>
          <w:rFonts w:ascii="Calibri" w:hAnsi="Calibri"/>
          <w:b/>
          <w:color w:val="1A252C"/>
          <w:sz w:val="20"/>
        </w:rPr>
        <w:t xml:space="preserve">One-Line Answer: </w:t>
      </w:r>
      <w:r>
        <w:rPr>
          <w:rFonts w:ascii="Calibri" w:hAnsi="Calibri"/>
          <w:color w:val="2C3E50"/>
          <w:sz w:val="20"/>
        </w:rPr>
        <w:t>It passes retrieved chunk IDs directly from the search page to the assistant state, eliminating duplicate BM25 and neural reranking runs.</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When a user searches in Explorer, the system has already executed BM25, ChromaDB dense search, RRF, and cross-encoder reranking. When the user clicks 'Ask AI', the frontend passes the cached chunk list in the payload. The Assistant synthesizes immediately without incurring another 700ms retrieval penalty.</w:t>
      </w:r>
    </w:p>
    <w:p>
      <w:pPr>
        <w:pStyle w:val="Heading3"/>
        <w:keepNext/>
        <w:spacing w:before="120" w:after="40"/>
      </w:pPr>
      <w:r>
        <w:rPr>
          <w:rFonts w:ascii="Calibri" w:hAnsi="Calibri"/>
          <w:b/>
          <w:color w:val="2C3E50"/>
          <w:sz w:val="22"/>
        </w:rPr>
        <w:t>Q12. How does Document-Only Mode guarantee zero leakage from the global corpus?</w:t>
      </w:r>
    </w:p>
    <w:p>
      <w:pPr>
        <w:spacing w:before="0" w:after="80" w:line="276" w:lineRule="auto"/>
      </w:pPr>
      <w:r>
        <w:rPr>
          <w:rFonts w:ascii="Calibri" w:hAnsi="Calibri"/>
          <w:b/>
          <w:color w:val="1A252C"/>
          <w:sz w:val="20"/>
        </w:rPr>
        <w:t xml:space="preserve">One-Line Answer: </w:t>
      </w:r>
      <w:r>
        <w:rPr>
          <w:rFonts w:ascii="Calibri" w:hAnsi="Calibri"/>
          <w:color w:val="2C3E50"/>
          <w:sz w:val="20"/>
        </w:rPr>
        <w:t>By isolating the uploaded PDF into a dedicated, session-scoped ChromaDB collection and disabling global fallback queries.</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The backend instantiates an ephemeral collection ID specifically for that uploaded file. All retrieval queries are strictly filtered by that collection ID. If no matching chunks are found, the system explicitly reports that the document does not contain the answer, completely preventing cross-paper contamination.</w:t>
      </w:r>
    </w:p>
    <w:p>
      <w:pPr>
        <w:pStyle w:val="Heading3"/>
        <w:keepNext/>
        <w:spacing w:before="120" w:after="40"/>
      </w:pPr>
      <w:r>
        <w:rPr>
          <w:rFonts w:ascii="Calibri" w:hAnsi="Calibri"/>
          <w:b/>
          <w:color w:val="2C3E50"/>
          <w:sz w:val="22"/>
        </w:rPr>
        <w:t>Q13. How does the Multi-Paper Comparison avoid blending results between papers?</w:t>
      </w:r>
    </w:p>
    <w:p>
      <w:pPr>
        <w:spacing w:before="0" w:after="80" w:line="276" w:lineRule="auto"/>
      </w:pPr>
      <w:r>
        <w:rPr>
          <w:rFonts w:ascii="Calibri" w:hAnsi="Calibri"/>
          <w:b/>
          <w:color w:val="1A252C"/>
          <w:sz w:val="20"/>
        </w:rPr>
        <w:t xml:space="preserve">One-Line Answer: </w:t>
      </w:r>
      <w:r>
        <w:rPr>
          <w:rFonts w:ascii="Calibri" w:hAnsi="Calibri"/>
          <w:color w:val="2C3E50"/>
          <w:sz w:val="20"/>
        </w:rPr>
        <w:t>By prompting the LLM with isolated paper-specific context envelopes for each cell before assembling the combined comparative matrix.</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Instead of dumping five papers into one giant prompt where models easily mix up accuracy numbers and authors, the comparison engine queries each paper's chunks independently for each of the 10 dimensions, assembling the matrix row-by-row with strict provenance.</w:t>
      </w:r>
    </w:p>
    <w:p>
      <w:pPr>
        <w:pStyle w:val="Heading3"/>
        <w:keepNext/>
        <w:spacing w:before="120" w:after="40"/>
      </w:pPr>
      <w:r>
        <w:rPr>
          <w:rFonts w:ascii="Calibri" w:hAnsi="Calibri"/>
          <w:b/>
          <w:color w:val="2C3E50"/>
          <w:sz w:val="22"/>
        </w:rPr>
        <w:t>Q14. What cryptographic mechanism guarantees evidence integrity?</w:t>
      </w:r>
    </w:p>
    <w:p>
      <w:pPr>
        <w:spacing w:before="0" w:after="80" w:line="276" w:lineRule="auto"/>
      </w:pPr>
      <w:r>
        <w:rPr>
          <w:rFonts w:ascii="Calibri" w:hAnsi="Calibri"/>
          <w:b/>
          <w:color w:val="1A252C"/>
          <w:sz w:val="20"/>
        </w:rPr>
        <w:t xml:space="preserve">One-Line Answer: </w:t>
      </w:r>
      <w:r>
        <w:rPr>
          <w:rFonts w:ascii="Calibri" w:hAnsi="Calibri"/>
          <w:color w:val="2C3E50"/>
          <w:sz w:val="20"/>
        </w:rPr>
        <w:t>Every chunk is assigned a SHA-256 hash computed over its exact raw text string and stored in the provenance ledger.</w:t>
      </w:r>
    </w:p>
    <w:p>
      <w:pPr>
        <w:spacing w:before="0" w:after="80" w:line="276" w:lineRule="auto"/>
      </w:pPr>
      <w:r>
        <w:rPr>
          <w:rFonts w:ascii="Calibri" w:hAnsi="Calibri"/>
          <w:b/>
          <w:color w:val="1A252C"/>
          <w:sz w:val="20"/>
        </w:rPr>
        <w:t xml:space="preserve">Technical Explanation: </w:t>
      </w:r>
      <w:r>
        <w:rPr>
          <w:rFonts w:ascii="Calibri" w:hAnsi="Calibri"/>
          <w:color w:val="2C3E50"/>
          <w:sz w:val="20"/>
        </w:rPr>
        <w:t>If text in the database is modified, corrupted, or altered during indexing, the SHA-256 hash in the Claim Proof Drawer will mismatch, providing a mathematically auditable chain of custody.</w:t>
      </w:r>
    </w:p>
    <w:p>
      <w:pPr>
        <w:pStyle w:val="Heading1"/>
        <w:keepNext/>
        <w:spacing w:before="280" w:after="120"/>
      </w:pPr>
      <w:r>
        <w:rPr>
          <w:rFonts w:ascii="Calibri" w:hAnsi="Calibri"/>
          <w:b/>
          <w:color w:val="0E4D92"/>
          <w:sz w:val="32"/>
        </w:rPr>
        <w:t>24. Tough Defense &amp; Examiner Challenge Questions</w:t>
      </w:r>
    </w:p>
    <w:p>
      <w:pPr>
        <w:spacing w:before="0" w:after="80" w:line="276" w:lineRule="auto"/>
      </w:pPr>
      <w:r>
        <w:rPr>
          <w:rFonts w:ascii="Calibri" w:hAnsi="Calibri"/>
          <w:color w:val="2C3E50"/>
          <w:sz w:val="20"/>
        </w:rPr>
        <w:t>Here are difficult, pressure-testing questions examiners love to ask, and the exact winning answers:</w:t>
      </w:r>
    </w:p>
    <w:tbl>
      <w:tblPr>
        <w:tblW w:type="auto" w:w="0"/>
        <w:jc w:val="center"/>
        <w:tblLayout w:type="fixed"/>
        <w:tblLook w:firstColumn="1" w:firstRow="1" w:lastColumn="0" w:lastRow="0" w:noHBand="0" w:noVBand="1" w:val="04A0"/>
      </w:tblPr>
      <w:tblGrid>
        <w:gridCol w:w="9792"/>
      </w:tblGrid>
      <w:tr>
        <w:tc>
          <w:tcPr>
            <w:tcW w:type="dxa" w:w="10080"/>
            <w:shd w:fill="FDEDEC"/>
            <w:tcBorders>
              <w:left w:val="single" w:sz="24" w:space="0" w:color="E74C3C"/>
              <w:top w:val="none"/>
              <w:right w:val="none"/>
              <w:bottom w:val="none"/>
            </w:tcBorders>
          </w:tcPr>
          <w:p>
            <w:pPr>
              <w:spacing w:before="80" w:after="40"/>
            </w:pPr>
            <w:r>
              <w:rPr>
                <w:rFonts w:ascii="Calibri" w:hAnsi="Calibri"/>
                <w:b/>
                <w:color w:val="E74C3C"/>
                <w:sz w:val="21"/>
              </w:rPr>
              <w:t>★ CHALLENGE 1: 'Isn't your system just a basic wrapper around Gemini and LangChain?'</w:t>
              <w:br/>
            </w:r>
          </w:p>
          <w:p>
            <w:pPr>
              <w:spacing w:before="0" w:after="80"/>
            </w:pPr>
            <w:r>
              <w:rPr>
                <w:rFonts w:ascii="Calibri" w:hAnsi="Calibri"/>
                <w:color w:val="2C3E50"/>
                <w:sz w:val="20"/>
              </w:rPr>
              <w:t>"No, Mam. We do not use generic LangChain wrappers. We built custom microservices for hybrid retrieval and verification. First, we implement custom Reciprocal Rank Fusion fusing BM25 with BGE embeddings, followed by a dedicated local Cross-Encoder neural reranker (BAAI/bge-reranker-base). Second, we built the PROVE claim verification engine from scratch: it extracts individual claims, filters 31.2% via deterministic token overlap, and verifies remaining claims through strict NLI state classifications. Third, our interactive provenance ledger exposes cryptographic SHA-256 evidence hashes and cross-encoder logits directly in the user interface. An API wrapper cannot provide mathematical verification, citation repair, or isolated multi-paper matrices."</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10080"/>
            <w:shd w:fill="FEF9E7"/>
            <w:tcBorders>
              <w:left w:val="single" w:sz="24" w:space="0" w:color="F39C12"/>
              <w:top w:val="none"/>
              <w:right w:val="none"/>
              <w:bottom w:val="none"/>
            </w:tcBorders>
          </w:tcPr>
          <w:p>
            <w:pPr>
              <w:spacing w:before="80" w:after="40"/>
            </w:pPr>
            <w:r>
              <w:rPr>
                <w:rFonts w:ascii="Calibri" w:hAnsi="Calibri"/>
                <w:b/>
                <w:color w:val="F39C12"/>
                <w:sz w:val="21"/>
              </w:rPr>
              <w:t>★ CHALLENGE 2: 'Why not just use GPT-4 with a 128k context window and dump the entire paper into the prompt?'</w:t>
              <w:br/>
            </w:r>
          </w:p>
          <w:p>
            <w:pPr>
              <w:spacing w:before="0" w:after="80"/>
            </w:pPr>
            <w:r>
              <w:rPr>
                <w:rFonts w:ascii="Calibri" w:hAnsi="Calibri"/>
                <w:color w:val="2C3E50"/>
                <w:sz w:val="20"/>
              </w:rPr>
              <w:t>"Mam, that approach has two fatal flaws: cost/latency, and the 'Lost-in-the-Middle' phenomenon. First, sending 100,000 tokens per query costs orders of magnitude more and takes 15 to 30 seconds to stream. Second, extensive empirical research (Liu et al., Stanford) proves that LLMs suffer severe attention degradation in large contexts, frequently missing critical details located in the middle 60% of long documents. Our RAG architecture retrieves only the top 10 relevant 500-token chunks with cross-encoder precision, achieving 1.0000 candidate recall at a fraction of the compute time and zero attention degradation."</w:t>
            </w:r>
          </w:p>
        </w:tc>
      </w:tr>
    </w:tbl>
    <w:p>
      <w:pPr>
        <w:spacing w:before="0" w:after="80"/>
      </w:pPr>
    </w:p>
    <w:tbl>
      <w:tblPr>
        <w:tblW w:type="auto" w:w="0"/>
        <w:jc w:val="center"/>
        <w:tblLayout w:type="fixed"/>
        <w:tblLook w:firstColumn="1" w:firstRow="1" w:lastColumn="0" w:lastRow="0" w:noHBand="0" w:noVBand="1" w:val="04A0"/>
      </w:tblPr>
      <w:tblGrid>
        <w:gridCol w:w="9792"/>
      </w:tblGrid>
      <w:tr>
        <w:tc>
          <w:tcPr>
            <w:tcW w:type="dxa" w:w="10080"/>
            <w:shd w:fill="EAF2F8"/>
            <w:tcBorders>
              <w:left w:val="single" w:sz="24" w:space="0" w:color="2471A3"/>
              <w:top w:val="none"/>
              <w:right w:val="none"/>
              <w:bottom w:val="none"/>
            </w:tcBorders>
          </w:tcPr>
          <w:p>
            <w:pPr>
              <w:spacing w:before="80" w:after="40"/>
            </w:pPr>
            <w:r>
              <w:rPr>
                <w:rFonts w:ascii="Calibri" w:hAnsi="Calibri"/>
                <w:b/>
                <w:color w:val="2471A3"/>
                <w:sz w:val="21"/>
              </w:rPr>
              <w:t>★ CHALLENGE 3: 'Why did you use SQLite locally instead of PostgreSQL?'</w:t>
              <w:br/>
            </w:r>
          </w:p>
          <w:p>
            <w:pPr>
              <w:spacing w:before="0" w:after="80"/>
            </w:pPr>
            <w:r>
              <w:rPr>
                <w:rFonts w:ascii="Calibri" w:hAnsi="Calibri"/>
                <w:color w:val="2C3E50"/>
                <w:sz w:val="20"/>
              </w:rPr>
              <w:t>"Mam, our database architecture is built using SQLAlchemy ORM with full driver abstraction. In local evaluation and offline benchmark runs, SQLite provides zero-dependency, deterministic file-based reproducibility that allows freezing benchmark databases (like `papers.db` and `researchnexus_eval.db`) into version control. In a production cloud deployment, changing a single connection URI in `.env` seamlessly switches the backend to PostgreSQL without altering any application code."</w:t>
            </w:r>
          </w:p>
        </w:tc>
      </w:tr>
    </w:tbl>
    <w:p>
      <w:pPr>
        <w:spacing w:before="0" w:after="80"/>
      </w:pPr>
    </w:p>
    <w:p>
      <w:pPr>
        <w:pStyle w:val="Heading1"/>
        <w:keepNext/>
        <w:spacing w:before="280" w:after="120"/>
      </w:pPr>
      <w:r>
        <w:rPr>
          <w:rFonts w:ascii="Calibri" w:hAnsi="Calibri"/>
          <w:b/>
          <w:color w:val="0E4D92"/>
          <w:sz w:val="32"/>
        </w:rPr>
        <w:t>25. System Limitations &amp; Future Work (Honest Academic Self-Assessment)</w:t>
      </w:r>
    </w:p>
    <w:p>
      <w:pPr>
        <w:spacing w:before="0" w:after="80" w:line="276" w:lineRule="auto"/>
      </w:pPr>
      <w:r>
        <w:rPr>
          <w:rFonts w:ascii="Calibri" w:hAnsi="Calibri"/>
          <w:color w:val="2C3E50"/>
          <w:sz w:val="20"/>
        </w:rPr>
        <w:t>A strong presentation acknowledges real engineering boundaries. Examiners respect candidates who understand their system's limitations:</w:t>
      </w:r>
    </w:p>
    <w:tbl>
      <w:tblPr>
        <w:tblW w:type="auto" w:w="0"/>
        <w:jc w:val="center"/>
        <w:tblLayout w:type="fixed"/>
        <w:tblLook w:firstColumn="1" w:firstRow="1" w:lastColumn="0" w:lastRow="0" w:noHBand="0" w:noVBand="1" w:val="04A0"/>
      </w:tblPr>
      <w:tblGrid>
        <w:gridCol w:w="2592"/>
        <w:gridCol w:w="3600"/>
        <w:gridCol w:w="3600"/>
      </w:tblGrid>
      <w:tr>
        <w:tc>
          <w:tcPr>
            <w:tcW w:type="dxa" w:w="2592"/>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Area / Aspect</w:t>
            </w:r>
          </w:p>
        </w:tc>
        <w:tc>
          <w:tcPr>
            <w:tcW w:type="dxa" w:w="360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Current System Limitation</w:t>
            </w:r>
          </w:p>
        </w:tc>
        <w:tc>
          <w:tcPr>
            <w:tcW w:type="dxa" w:w="3600"/>
            <w:shd w:fill="1B4F72"/>
            <w:tcBorders>
              <w:left w:val="single" w:sz="4" w:space="0" w:color="D5D8DC"/>
              <w:top w:val="single" w:sz="4" w:space="0" w:color="D5D8DC"/>
              <w:right w:val="single" w:sz="4" w:space="0" w:color="D5D8DC"/>
              <w:bottom w:val="single" w:sz="4" w:space="0" w:color="D5D8DC"/>
            </w:tcBorders>
          </w:tcPr>
          <w:p>
            <w:pPr>
              <w:spacing w:before="60" w:after="60"/>
            </w:pPr>
            <w:r/>
            <w:r>
              <w:rPr>
                <w:rFonts w:ascii="Calibri" w:hAnsi="Calibri"/>
                <w:b/>
                <w:color w:val="FFFFFF"/>
                <w:sz w:val="19"/>
              </w:rPr>
              <w:t>Planned Future Enhancement</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Corpus Domain Scope</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Offline verified corpus contains 687 papers focused on AI and Environmental Science. Other domains have fewer pre-indexed papers.</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Scale offline index to 10,000+ open-access papers across all 8 domains with automated weekly arXiv scrapers.</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Iterative Refinement</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Currently disabled by default because multi-turn re-synthesis adds 2.2x latency without grounding gains under noisy contexts.</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Implement selective iterative refinement triggered only when Stage B verification detects CONTRADICTED or UNSUPPORTED claims.</w:t>
            </w:r>
          </w:p>
        </w:tc>
      </w:tr>
      <w:tr>
        <w:tc>
          <w:tcPr>
            <w:tcW w:type="dxa" w:w="2592"/>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Table &amp; Figure Extraction</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PyMuPDF extracts clean text streams, but complex multi-column tables and embedded image figures are simplified into text blocks.</w:t>
            </w:r>
          </w:p>
        </w:tc>
        <w:tc>
          <w:tcPr>
            <w:tcW w:type="dxa" w:w="3600"/>
            <w:shd w:fill="FFFFFF"/>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Integrate multimodal vision models (e.g. Nougat, ColPali, or Gemini Vision) to parse vector charts and tabular grids directly.</w:t>
            </w:r>
          </w:p>
        </w:tc>
      </w:tr>
      <w:tr>
        <w:tc>
          <w:tcPr>
            <w:tcW w:type="dxa" w:w="2592"/>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Human Annotation Grounding</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Evaluation experiment E05 remains blocked awaiting external human annotator submissions; benchmark currently relies on synthetic and automated NLI.</w:t>
            </w:r>
          </w:p>
        </w:tc>
        <w:tc>
          <w:tcPr>
            <w:tcW w:type="dxa" w:w="3600"/>
            <w:shd w:fill="F4F6F7"/>
            <w:tcBorders>
              <w:left w:val="single" w:sz="4" w:space="0" w:color="D5D8DC"/>
              <w:top w:val="single" w:sz="4" w:space="0" w:color="D5D8DC"/>
              <w:right w:val="single" w:sz="4" w:space="0" w:color="D5D8DC"/>
              <w:bottom w:val="single" w:sz="4" w:space="0" w:color="D5D8DC"/>
            </w:tcBorders>
          </w:tcPr>
          <w:p>
            <w:pPr>
              <w:spacing w:before="40" w:after="40"/>
            </w:pPr>
            <w:r/>
            <w:r>
              <w:rPr>
                <w:rFonts w:ascii="Calibri" w:hAnsi="Calibri"/>
                <w:color w:val="2C3E50"/>
                <w:sz w:val="18"/>
              </w:rPr>
              <w:t>Complete multi-annotator inter-rater reliability validation (Cohen's Kappa) with external academic reviewers.</w:t>
            </w:r>
          </w:p>
        </w:tc>
      </w:tr>
    </w:tbl>
    <w:p>
      <w:pPr>
        <w:spacing w:before="0" w:after="80"/>
      </w:pPr>
    </w:p>
    <w:p>
      <w:pPr>
        <w:pStyle w:val="Heading1"/>
        <w:keepNext/>
        <w:spacing w:before="280" w:after="120"/>
      </w:pPr>
      <w:r>
        <w:rPr>
          <w:rFonts w:ascii="Calibri" w:hAnsi="Calibri"/>
          <w:b/>
          <w:color w:val="0E4D92"/>
          <w:sz w:val="32"/>
        </w:rPr>
        <w:t>26. 1-Minute Elevator Pitch &amp; 5-Minute Presentation Script</w:t>
      </w:r>
    </w:p>
    <w:tbl>
      <w:tblPr>
        <w:tblW w:type="auto" w:w="0"/>
        <w:jc w:val="center"/>
        <w:tblLayout w:type="fixed"/>
        <w:tblLook w:firstColumn="1" w:firstRow="1" w:lastColumn="0" w:lastRow="0" w:noHBand="0" w:noVBand="1" w:val="04A0"/>
      </w:tblPr>
      <w:tblGrid>
        <w:gridCol w:w="9792"/>
      </w:tblGrid>
      <w:tr>
        <w:tc>
          <w:tcPr>
            <w:tcW w:type="dxa" w:w="10080"/>
            <w:shd w:fill="EAF2F8"/>
            <w:tcBorders>
              <w:left w:val="single" w:sz="24" w:space="0" w:color="2471A3"/>
              <w:top w:val="none"/>
              <w:right w:val="none"/>
              <w:bottom w:val="none"/>
            </w:tcBorders>
          </w:tcPr>
          <w:p>
            <w:pPr>
              <w:spacing w:before="80" w:after="40"/>
            </w:pPr>
            <w:r>
              <w:rPr>
                <w:rFonts w:ascii="Calibri" w:hAnsi="Calibri"/>
                <w:b/>
                <w:color w:val="2471A3"/>
                <w:sz w:val="21"/>
              </w:rPr>
              <w:t>★ 1-MINUTE ELEVATOR PITCH</w:t>
              <w:br/>
            </w:r>
          </w:p>
          <w:p>
            <w:pPr>
              <w:spacing w:before="0" w:after="80"/>
            </w:pPr>
            <w:r>
              <w:rPr>
                <w:rFonts w:ascii="Calibri" w:hAnsi="Calibri"/>
                <w:color w:val="2C3E50"/>
                <w:sz w:val="20"/>
              </w:rPr>
              <w:t>"Good morning, Mam. Our project is ResearchNexus AI — a unified academic research intelligence platform designed to eliminate literature fragmentation and LLM hallucinations. While general-purpose AI tools fabricate up to 30% of their citations, ResearchNexus introduces a closed-loop Verified RAG system. We combine BM25 lexical search with 768-dimensional BGE embeddings using Reciprocal Rank Fusion, followed by a neural Cross-Encoder that reranks the most relevant literature in just 531 milliseconds. Our custom PROVE engine extracts individual claims, validates verbatim quotes instantly via deterministic token overlap, and evaluates semantic entailment. Every claim links to an interactive Proof Drawer showing exact chunk text, cosine similarity, and cryptographic SHA-256 hashes. In our 100-query benchmark, we achieved a 100% verified trace link rate and 1.0000 test candidate recall, giving researchers an auditable, trustworthy co-investigator."</w:t>
            </w:r>
          </w:p>
        </w:tc>
      </w:tr>
    </w:tbl>
    <w:p>
      <w:pPr>
        <w:spacing w:before="0" w:after="80"/>
      </w:pPr>
    </w:p>
    <w:p>
      <w:pPr>
        <w:spacing w:before="0" w:after="80" w:line="276" w:lineRule="auto"/>
      </w:pPr>
      <w:r>
        <w:rPr>
          <w:rFonts w:ascii="Calibri" w:hAnsi="Calibri"/>
          <w:color w:val="2C3E50"/>
          <w:sz w:val="20"/>
        </w:rPr>
        <w:t>5-Minute Presentation Script Outline for Tuesday:</w:t>
        <w:br/>
        <w:t>• Minute 1: The Problem (Literature overload, broken search, LLM hallucinations, need for verifiable evidence).</w:t>
        <w:br/>
        <w:t>• Minute 2: Architecture &amp; Tech Stack (React/TS, FastAPI, ChromaDB, BGE embeddings, BM25, RRF k=60, bge-reranker-base, Gemini Flash).</w:t>
        <w:br/>
        <w:t>• Minute 3: Live Demo Part 1 (Search in Explorer -&gt; RRF &amp; Reranker scores -&gt; Click 'Ask AI' showing cache handoff).</w:t>
        <w:br/>
        <w:t>• Minute 4: Live Demo Part 2 (Synthesis with citations -&gt; Open ClaimProofDrawer -&gt; Show SHA-256 hash -&gt; Switch to Multi-Paper Comparison).</w:t>
        <w:br/>
        <w:t>• Minute 5: Evaluation &amp; Conclusion (Present 1.0000 test recall, 531ms median latency, 100% trace rate, and roadmap).</w:t>
      </w:r>
    </w:p>
    <w:p>
      <w:pPr>
        <w:pStyle w:val="Heading1"/>
        <w:keepNext/>
        <w:spacing w:before="280" w:after="120"/>
      </w:pPr>
      <w:r>
        <w:rPr>
          <w:rFonts w:ascii="Calibri" w:hAnsi="Calibri"/>
          <w:b/>
          <w:color w:val="0E4D92"/>
          <w:sz w:val="32"/>
        </w:rPr>
        <w:t>27. Final Advice for Tuesday Project Presentation</w:t>
      </w:r>
    </w:p>
    <w:p>
      <w:pPr>
        <w:pStyle w:val="ListBullet"/>
        <w:spacing w:before="0" w:after="40" w:line="276" w:lineRule="auto"/>
      </w:pPr>
      <w:r>
        <w:rPr>
          <w:rFonts w:ascii="Calibri" w:hAnsi="Calibri"/>
          <w:b/>
          <w:color w:val="1A252C"/>
          <w:sz w:val="20"/>
        </w:rPr>
        <w:t xml:space="preserve">1. Confidence: </w:t>
      </w:r>
      <w:r>
        <w:rPr>
          <w:rFonts w:ascii="Calibri" w:hAnsi="Calibri"/>
          <w:color w:val="2C3E50"/>
          <w:sz w:val="20"/>
        </w:rPr>
        <w:t>Speak calmly and with conviction. You built this system, and you know how every line of code connects.</w:t>
      </w:r>
    </w:p>
    <w:p>
      <w:pPr>
        <w:pStyle w:val="ListBullet"/>
        <w:spacing w:before="0" w:after="40" w:line="276" w:lineRule="auto"/>
      </w:pPr>
      <w:r>
        <w:rPr>
          <w:rFonts w:ascii="Calibri" w:hAnsi="Calibri"/>
          <w:b/>
          <w:color w:val="1A252C"/>
          <w:sz w:val="20"/>
        </w:rPr>
        <w:t xml:space="preserve">2. Frame the Story First: </w:t>
      </w:r>
      <w:r>
        <w:rPr>
          <w:rFonts w:ascii="Calibri" w:hAnsi="Calibri"/>
          <w:color w:val="2C3E50"/>
          <w:sz w:val="20"/>
        </w:rPr>
        <w:t>Do not rush into code immediately. Ground Mam in the researcher's dilemma first so she appreciates why verification matters.</w:t>
      </w:r>
    </w:p>
    <w:p>
      <w:pPr>
        <w:pStyle w:val="ListBullet"/>
        <w:spacing w:before="0" w:after="40" w:line="276" w:lineRule="auto"/>
      </w:pPr>
      <w:r>
        <w:rPr>
          <w:rFonts w:ascii="Calibri" w:hAnsi="Calibri"/>
          <w:b/>
          <w:color w:val="1A252C"/>
          <w:sz w:val="20"/>
        </w:rPr>
        <w:t xml:space="preserve">3. Pre-flight Check: </w:t>
      </w:r>
      <w:r>
        <w:rPr>
          <w:rFonts w:ascii="Calibri" w:hAnsi="Calibri"/>
          <w:color w:val="2C3E50"/>
          <w:sz w:val="20"/>
        </w:rPr>
        <w:t>Keep localhost:5173 and your FastAPI backend running in separate terminals before you enter the room.</w:t>
      </w:r>
    </w:p>
    <w:p>
      <w:pPr>
        <w:pStyle w:val="ListBullet"/>
        <w:spacing w:before="0" w:after="40" w:line="276" w:lineRule="auto"/>
      </w:pPr>
      <w:r>
        <w:rPr>
          <w:rFonts w:ascii="Calibri" w:hAnsi="Calibri"/>
          <w:b/>
          <w:color w:val="1A252C"/>
          <w:sz w:val="20"/>
        </w:rPr>
        <w:t xml:space="preserve">4. Scientific Honesty: </w:t>
      </w:r>
      <w:r>
        <w:rPr>
          <w:rFonts w:ascii="Calibri" w:hAnsi="Calibri"/>
          <w:color w:val="2C3E50"/>
          <w:sz w:val="20"/>
        </w:rPr>
        <w:t>If asked a question you are unsure about, state the principle clearly: 'Mam, our system enforces conservative verification: we prefer abstention over fabricated attribution.'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