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color w:val="000000"/>
          <w:sz w:val="28"/>
        </w:rPr>
        <w:t>前三章正文稿 V2.1</w:t>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目    录</w:t>
      </w:r>
    </w:p>
    <w:p>
      <w:pPr>
        <w:spacing w:line="264" w:lineRule="auto"/>
      </w:pPr>
      <w:r>
        <w:t>第1章 绪论................................1</w:t>
      </w:r>
    </w:p>
    <w:p>
      <w:pPr>
        <w:spacing w:line="264" w:lineRule="auto"/>
      </w:pPr>
      <w:r>
        <w:t>1.1 研究背景与意义..........................1</w:t>
      </w:r>
    </w:p>
    <w:p>
      <w:pPr>
        <w:spacing w:line="264" w:lineRule="auto"/>
      </w:pPr>
      <w:r>
        <w:t>1.2 国内外研究现状..........................2</w:t>
      </w:r>
    </w:p>
    <w:p>
      <w:pPr>
        <w:spacing w:line="264" w:lineRule="auto"/>
      </w:pPr>
      <w:r>
        <w:t>1.3 研究内容与技术路线........................3</w:t>
      </w:r>
    </w:p>
    <w:p>
      <w:pPr>
        <w:spacing w:line="264" w:lineRule="auto"/>
      </w:pPr>
      <w:r>
        <w:t>1.4 本文主要工作...........................4</w:t>
      </w:r>
    </w:p>
    <w:p>
      <w:pPr>
        <w:spacing w:line="264" w:lineRule="auto"/>
      </w:pPr>
      <w:r>
        <w:t>1.5 论文组织结构...........................4</w:t>
      </w:r>
    </w:p>
    <w:p>
      <w:pPr>
        <w:spacing w:line="264" w:lineRule="auto"/>
      </w:pPr>
      <w:r>
        <w:t>第2章 相关技术与需求分析.........................6</w:t>
      </w:r>
    </w:p>
    <w:p>
      <w:pPr>
        <w:spacing w:line="264" w:lineRule="auto"/>
      </w:pPr>
      <w:r>
        <w:t>2.1 非侵入式负荷监测技术概述.....................6</w:t>
      </w:r>
    </w:p>
    <w:p>
      <w:pPr>
        <w:spacing w:line="264" w:lineRule="auto"/>
      </w:pPr>
      <w:r>
        <w:t>2.2 系统关键技术...........................6</w:t>
      </w:r>
    </w:p>
    <w:p>
      <w:pPr>
        <w:spacing w:line="264" w:lineRule="auto"/>
      </w:pPr>
      <w:r>
        <w:t>2.3 系统功能需求分析.........................7</w:t>
      </w:r>
    </w:p>
    <w:p>
      <w:pPr>
        <w:spacing w:line="264" w:lineRule="auto"/>
      </w:pPr>
      <w:r>
        <w:t>2.4 系统非功能需求分析........................9</w:t>
      </w:r>
    </w:p>
    <w:p>
      <w:pPr>
        <w:spacing w:line="264" w:lineRule="auto"/>
      </w:pPr>
      <w:r>
        <w:t>2.5 本章小结............................10</w:t>
      </w:r>
    </w:p>
    <w:p>
      <w:pPr>
        <w:spacing w:line="264" w:lineRule="auto"/>
      </w:pPr>
      <w:r>
        <w:t>第3章 系统总体设计...........................11</w:t>
      </w:r>
    </w:p>
    <w:p>
      <w:pPr>
        <w:spacing w:line="264" w:lineRule="auto"/>
      </w:pPr>
      <w:r>
        <w:t>3.1 系统设计目标..........................11</w:t>
      </w:r>
    </w:p>
    <w:p>
      <w:pPr>
        <w:spacing w:line="264" w:lineRule="auto"/>
      </w:pPr>
      <w:r>
        <w:t>3.2 系统总体架构..........................12</w:t>
      </w:r>
    </w:p>
    <w:p>
      <w:pPr>
        <w:spacing w:line="264" w:lineRule="auto"/>
      </w:pPr>
      <w:r>
        <w:t>3.3 数据流与业务流程设计......................13</w:t>
      </w:r>
    </w:p>
    <w:p>
      <w:pPr>
        <w:spacing w:line="264" w:lineRule="auto"/>
      </w:pPr>
      <w:r>
        <w:t>3.4 关键模块划分..........................14</w:t>
      </w:r>
    </w:p>
    <w:p>
      <w:pPr>
        <w:spacing w:line="264" w:lineRule="auto"/>
      </w:pPr>
      <w:r>
        <w:t>3.5 数据接口与模型包契约设计....................15</w:t>
      </w:r>
    </w:p>
    <w:p>
      <w:pPr>
        <w:spacing w:line="264" w:lineRule="auto"/>
      </w:pPr>
      <w:r>
        <w:t>3.6 技术经济与可行性分析......................17</w:t>
      </w:r>
    </w:p>
    <w:p>
      <w:pPr>
        <w:spacing w:line="264" w:lineRule="auto"/>
      </w:pPr>
      <w:r>
        <w:t>3.7 本章小结............................18</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第1章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与为每个设备单独安装计量装置的侵入式监测方式相比，NILM 具有安装改造少、维护成本低、对用户环境影响小等特点，更适合家庭和小型建筑等场景中的用电监测应用。</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许多研究重点关注模型结构、识别精度和误差指标，通过公开数据集比较不同算法在设备级功率预测或事件识别任务中的表现。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t>因此，本文不将研究重点放在提出新的 NILM 算法上，而是面向家庭能耗场景，设计并实现一个 NILM 在线监测与推理系统。系统围绕数据采集层、NILM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推理服务层负责模型包加载、离线区间推理、在线会话推理和回放验证；应用展示层通过稳定视图接口消费推理结果，展示家庭用电状态、设备功率和运行事件。通过这种组织方式，本文将 NILM 模型能力纳入可运行的软件系统中，形成从数据输入到结果展示的工程闭环。</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提出，其目标是在不为每个设备单独安装传感器的情况下，通过总负荷信号推断用电设备的运行状态。早期 NILM 方法主要依赖功率阶跃、稳态功率、设备启停事件等人工特征。此类方法计算量较小、可解释性较强，在设备功率特征明显、同时运行设备较少的场景下具有一定效果。但在真实家庭环境中，多设备同时运行、设备功率相近、噪声干扰、采样缺失等因素会增加负荷分解难度。</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任务。相比传统人工规则，深度学习方法能够从历史负荷序列中学习设备运行模式，减少对手工特征的依赖。相关研究通常使用 MAE、RMSE、Precision、Recall、F1 等指标评价功率预测误差和事件识别效果。算法研究推动了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部分研究将负荷识别模型部署到嵌入式设备或边缘计算节点，关注实时性、算力约束和模型压缩；也有研究基于物联网或云平台构建在线监测系统，将数据采集、云端处理、用户展示和远程管理结合起来。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第三，离线实验结果和在线运行效果之间存在差异，系统需要通过回放、接口检查和端到端测试证明推理链路实际可用。</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t>（4）设计应用展示层的基础功能范围与端到端验证路径。应用展示层通过后端视图适配接口消费推理服务输出，提供首页总览、设备详情和系统状态等基础页面，并通过测试脚本和运行状态展示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第1章为绪论，介绍研究背景与意义、国内外研究现状、本文研究内容、技术路线和主要工作。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第2章为相关技术与需求分析，介绍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第3章为系统总体设计，说明系统设计目标、总体架构、数据流、模块划分、关键数据接口、模型包契约以及技术经济与可行性分析。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第4章为数据采集与预处理模块设计实现，重点介绍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第5章为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第6章为系统应用界面与功能实现，介绍应用展示层功能定位、后端视图适配接口、首页总览、设备详情、系统状态和推理结果展示。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第7章为系统测试与结果分析，从采集模块、推理服务、模型指标、在线回放和端到端运行等角度验证系统功能，并分析测试结果和不足。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第2章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t>非侵入式负荷监测是一种通过总进线或总电表处电气量数据推断单个用电设备运行状态和能耗情况的技术。其输入通常是按时间排列的总负荷数据，例如总有功功率序列、电压序列、电流序列或多个电气量组合特征；其输出可以是目标电器的功率估计值、设备开关状态、启停事件或能耗统计结果。对于家庭能耗场景而言，NILM 的价值在于用较低部署成本获得设备级用电信息，为能耗分析和设备状态展示提供基础。</w:t>
      </w:r>
    </w:p>
    <w:p>
      <w:pPr>
        <w:spacing w:line="300" w:lineRule="auto" w:before="0" w:after="0"/>
        <w:ind w:firstLine="480"/>
      </w:pPr>
      <w:r>
        <w:rPr>
          <w:rFonts w:ascii="Times New Roman" w:hAnsi="Times New Roman" w:eastAsia="宋体"/>
          <w:color w:val="000000"/>
          <w:sz w:val="24"/>
        </w:rPr>
        <w:t>NILM 任务一般包含负荷分解和事件检测两类目标。负荷分解关注在每个时间点估计目标设备功率，适合展示设备用电曲线和计算能耗占比；事件检测关注设备启停变化，适合展示开关事件、运行片段和异常行为。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t>从方法角度看，NILM 可以使用基于事件检测、基于电气特征、基于概率模型和基于深度学习的方法。事件检测方法关注总功率突变，适合识别功率变化明显的设备；电气特征方法利用功率因数、谐波、V-I 轨迹等特征提高区分能力；概率模型方法将设备状态视为隐状态序列进行推断；深度学习方法通过神经网络从历史负荷序列中学习设备运行模式。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t>NILM 评价通常包括功率误差指标和事件指标。功率误差可使用 MAE、RMSE、MeanDiff、MaxAbsDiff 等指标衡量预测功率与真实功率之间的差异；事件识别可使用 Precision、Recall、F1 和事件时间偏差等指标衡量开关事件检测效果。本文后续测试章节将结合离线区间推理和在线回放结果，说明系统推理链路和模型输出是否满足演示与分析需要。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通信和本地结构化记录保存采集结果；推理服务侧围绕 Python 推理环境、模型文件、模型元数据和 HTTP 接口组织模型调用；应用展示侧采用前后端分离思路，由后端视图适配接口向页面提供首页总览、设备详情和系统状态所需数据。上述技术选择服务于系统可运行、可复现和可验证的目标。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t>第一，TCP 通信与协议解析。数据采集层需要接收终端或模拟终端发送的连续数据流。TCP 提供可靠的面向连接传输，适合终端持续上报用电数据。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t>第二，数据留痕与时序记录。采集数据需要保留原始报文和结构化解析结果。原始报文用于问题复核，结构化记录用于后续处理。本文系统采用轻量级文件留痕方式保存采集结果，使每条记录包含时间、设备、原始数据、解析字段和状态信息。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t>第三，时间序列窗口与模型输入。NILM 模型通常要求固定采样周期和固定窗口长度。推理服务需要将标准化功率序列构造成模型输入窗口，并在在线会话中维护滚动缓冲区。当缓冲区长度达到模型要求时，服务才触发推理。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t>第四，模型包与推理服务。为了避免模型文件、归一化参数、后处理规则分散管理，本文将模型组织为模型包。模型包包含模型文件、模型元数据、归一化参数、后处理配置、接口说明和包清单。推理服务加载模型包时检查接口版本、采样周期、输入输出形状和目标设备顺序；推理完成后输出设备功率、事件信息、模型版本和运行状态。</w:t>
      </w:r>
    </w:p>
    <w:p>
      <w:pPr>
        <w:spacing w:line="300" w:lineRule="auto" w:before="0" w:after="0"/>
        <w:ind w:firstLine="480"/>
      </w:pPr>
      <w:r>
        <w:rPr>
          <w:rFonts w:ascii="Times New Roman" w:hAnsi="Times New Roman" w:eastAsia="宋体"/>
          <w:color w:val="000000"/>
          <w:sz w:val="24"/>
        </w:rP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w:t>
      </w:r>
    </w:p>
    <w:p>
      <w:pPr>
        <w:spacing w:line="300" w:lineRule="auto" w:before="0" w:after="0"/>
        <w:ind w:firstLine="480"/>
      </w:pPr>
      <w:r>
        <w:rPr>
          <w:rFonts w:ascii="Times New Roman" w:hAnsi="Times New Roman" w:eastAsia="宋体"/>
          <w:color w:val="000000"/>
          <w:sz w:val="24"/>
        </w:rPr>
        <w:t>第六，应用展示与后端视图适配接口。应用展示层不直接消费推理服务的原始响应，也不在前端推断设备状态或计算能耗。应用后端作为视图适配层调用推理服务，将下游结果整理为首页总览、设备详情和系统状态等页面所需的视图数据。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第3章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t>根据前文需求分析，本文系统的总体目标是设计并实现一个面向家庭能耗场景的 NILM 在线监测与推理系统，使系统能够完成从用电数据进入、协议解析、数据存储、模型推理到结果展示的闭环。系统设计不以单一算法指标为唯一目标，而是强调 NILM 模型能力在工程系统中的接入、运行、验证和展示。</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t>第一，采集数据如何可靠进入系统。数据采集层需要接收终端或模拟终端输入，解析协议字段，维护设备状态，并保存原始数据和结构化记录，为后续推理提供可信输入。</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t>（1）分层职责明确。数据采集层负责终端接入和数据留痕，推理服务层负责模型加载和推理输出，应用展示层负责视图数据消费和页面展示。各层通过标准化数据和 API 连接，避免协议解析、模型运行和页面展示互相耦合。</w:t>
      </w:r>
    </w:p>
    <w:p>
      <w:pPr>
        <w:spacing w:line="300" w:lineRule="auto" w:before="0" w:after="0"/>
        <w:ind w:firstLine="480"/>
      </w:pPr>
      <w:r>
        <w:rPr>
          <w:rFonts w:ascii="Times New Roman" w:hAnsi="Times New Roman" w:eastAsia="宋体"/>
          <w:color w:val="000000"/>
          <w:sz w:val="24"/>
        </w:rP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t>本文系统采用三层架构，包括数据采集层、NILM 推理服务层和应用展示层。三层之间通过结构化采集记录、推理服务接口和应用视图接口连接，使数据采集、模型推理和页面展示可以分别演进。总体架构如图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0"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r>
        <w:rPr>
          <w:rFonts w:ascii="Times New Roman" w:hAnsi="Times New Roman" w:eastAsia="宋体"/>
          <w:color w:val="000000"/>
          <w:sz w:val="24"/>
        </w:rPr>
        <w:t>图 3-1 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pPr>
        <w:spacing w:line="300" w:lineRule="auto" w:before="0" w:after="0"/>
        <w:ind w:firstLine="480"/>
      </w:pPr>
      <w:r>
        <w:rPr>
          <w:rFonts w:ascii="Times New Roman" w:hAnsi="Times New Roman" w:eastAsia="宋体"/>
          <w:color w:val="000000"/>
          <w:sz w:val="24"/>
        </w:rPr>
        <w:t>数据采集层负责真实终端或模拟终端的数据接入。该层的核心能力包括 TCP 监听、多连接管理、固定协议报文解析、设备在线状态维护和数据持久化。该层输出标准化的时序记录和采集状态信息，不承担模型训练和应用页面逻辑。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该层输出设备级预测功率、开关事件、模型版本和会话状态。</w:t>
      </w:r>
    </w:p>
    <w:p>
      <w:pPr>
        <w:spacing w:line="300" w:lineRule="auto" w:before="0" w:after="0"/>
        <w:ind w:firstLine="480"/>
      </w:pPr>
      <w:r>
        <w:rPr>
          <w:rFonts w:ascii="Times New Roman" w:hAnsi="Times New Roman" w:eastAsia="宋体"/>
          <w:color w:val="000000"/>
          <w:sz w:val="24"/>
        </w:rPr>
        <w:t>应用展示层负责把推理结果组织为用户可理解的页面。该层不复用工程验证控制台作为最终产品页面，而是通过后端视图适配接口将推理结果转换为首页总览、设备详情和系统状态所需的视图数据。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0"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r>
        <w:rPr>
          <w:rFonts w:ascii="Times New Roman" w:hAnsi="Times New Roman" w:eastAsia="宋体"/>
          <w:color w:val="000000"/>
          <w:sz w:val="24"/>
        </w:rPr>
        <w:t>图 3-2 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pPr>
        <w:spacing w:line="300" w:lineRule="auto" w:before="0" w:after="0"/>
        <w:ind w:firstLine="480"/>
      </w:pPr>
      <w:r>
        <w:rPr>
          <w:rFonts w:ascii="Times New Roman" w:hAnsi="Times New Roman" w:eastAsia="宋体"/>
          <w:color w:val="000000"/>
          <w:sz w:val="24"/>
        </w:rPr>
        <w:t>（1）采集存储流程。终端或模拟终端向采集服务发送报文，采集服务接收 TCP 字节流后按协议解析设备标识、时间信息和电气量字段。解析成功的数据写入结构化记录，解析失败的数据记录异常类型和原始信息。该流程为后续推理和测试提供可追溯输入。</w:t>
      </w:r>
    </w:p>
    <w:p>
      <w:pPr>
        <w:spacing w:line="300" w:lineRule="auto" w:before="0" w:after="0"/>
        <w:ind w:firstLine="480"/>
      </w:pPr>
      <w:r>
        <w:rPr>
          <w:rFonts w:ascii="Times New Roman" w:hAnsi="Times New Roman" w:eastAsia="宋体"/>
          <w:color w:val="000000"/>
          <w:sz w:val="24"/>
        </w:rP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w:t>
      </w:r>
    </w:p>
    <w:p>
      <w:pPr>
        <w:spacing w:line="300" w:lineRule="auto" w:before="0" w:after="0"/>
        <w:ind w:firstLine="480"/>
      </w:pPr>
      <w:r>
        <w:rPr>
          <w:rFonts w:ascii="Times New Roman" w:hAnsi="Times New Roman" w:eastAsia="宋体"/>
          <w:color w:val="000000"/>
          <w:sz w:val="24"/>
        </w:rP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r>
        <w:br/>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4章重点说明数据采集、协议解析和数据存储；第5章重点说明模型包管理、推理服务和在线回放；第6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t>系统的关键接口包括采集记录结构、模型包契约、推理服务接口和应用视图接口。接口设计目标是让数据采集、模型推理和应用展示可以分别演进，同时保持可验证的连接关系。</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
        <w:rPr>
          <w:rFonts w:ascii="Times New Roman" w:hAnsi="Times New Roman" w:eastAsia="宋体"/>
          <w:color w:val="000000"/>
          <w:sz w:val="24"/>
        </w:rP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source_id/device_id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t>模型包是推理服务层加载模型能力的基本单位。一个模型包应包含模型文件、模型元数据、归一化参数、后处理配置、接口说明和包清单。服务加载模型包时，需要检查接口版本、采样周期、输入输出张量和目标设备顺序。该设计可以降低模型替换对服务代码和应用展示层的影响。</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接口版本、输入输出张量名称和形状</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包清单、生成时间、校验信息</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t>推理服务接口分为健康检查、会话管理、数据写入、结果查询和离线推理几类。在线会话接口通过启动会话、写入采样点和查询最新状态完成滚动推理；离线推理接口通过区间参数返回预测序列、事件和指标。</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t>应用视图接口用于连接推理服务层和应用展示层。后端视图适配接口内部可以调用推理服务接口，但前端只依赖应用级接口和视图数据结构。基础实现范围内，前端依赖首页总览、设备详情和系统状态三类接口。</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w:t>
      </w:r>
    </w:p>
    <w:p>
      <w:r>
        <w:rPr>
          <w:rFonts w:ascii="Times New Roman" w:hAnsi="Times New Roman" w:eastAsia="宋体"/>
          <w:color w:val="000000"/>
          <w:sz w:val="24"/>
        </w:rPr>
        <w:t>由于本文系统处于本科毕业设计实现阶段，未进行实际商业部署成本核算，以下分析主要从部署复杂度、维护工作量、扩展方式和实验演示可复现性角度进行比较。</w:t>
      </w:r>
    </w:p>
    <w:p>
      <w:pPr>
        <w:spacing w:line="300" w:lineRule="auto" w:before="0" w:after="0"/>
        <w:ind w:firstLine="480"/>
      </w:pPr>
      <w:r>
        <w:rPr>
          <w:rFonts w:ascii="Times New Roman" w:hAnsi="Times New Roman" w:eastAsia="宋体"/>
          <w:color w:val="000000"/>
          <w:sz w:val="24"/>
        </w:rPr>
        <w:t>NILM 方案的核心优势在于低侵入式部署。系统只需围绕总进线或总表侧采集总负荷数据，再通过模型推理获得设备级用电估计结果。与侵入式方案相比，该方案减少了传感器数量和安装改造工作，降低了设备接入门槛；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t>从本文系统实现角度看，系统采用分层设计和模型包契约，也具有一定维护经济性。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t>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t>综上，本文采用 NILM 在线监测与推理系统方案，在硬件部署复杂度、系统扩展性和演示可复现性方面具有一定优势。该方案的局限在于设备级结果依赖模型质量和输入数据质量，因此后续章节仍需通过模型指标、回放结果和端到端展示对系统有效性进行验证。</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t>通过本章设计，系统的层次结构、数据流、模块职责、关键接口和技术经济可行性已经明确。后续第4章将展开数据采集与预处理模块的具体实现，第5章将展开 NILM 推理服务模块的实现，第6章将说明应用展示层的基础功能和页面实现，第7章将通过测试与结果分析验证系统闭环。</w:t>
      </w:r>
    </w:p>
    <w:p>
      <w:pPr>
        <w:spacing w:line="300" w:lineRule="auto" w:after="0"/>
        <w:ind w:firstLine="480"/>
      </w:pPr>
    </w:p>
    <w:p>
      <w:pPr>
        <w:spacing w:line="300" w:lineRule="auto" w:after="0"/>
        <w:ind w:firstLine="480"/>
      </w:pPr>
    </w:p>
    <w:p>
      <w:pPr/>
    </w:p>
    <w:p>
      <w:pPr>
        <w:spacing w:line="300" w:lineRule="auto" w:after="0"/>
        <w:ind w:firstLine="480"/>
      </w:pPr>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