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前三章正文稿 V2.1</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rPr>
          <w:rFonts w:ascii="Times New Roman" w:hAnsi="Times New Roman" w:eastAsia="宋体"/>
          <w:color w:val="000000"/>
          <w:sz w:val="24"/>
        </w:rPr>
        <w:t>参 考 文 献............................19</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t>第一，采集数据如何可靠进入系统。数据采集层需要接收终端或模拟终端输入，解析协议字段，维护设备状态，并保存原始数据和结构化记录，为后续推理提供可信输入。</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t>（1）分层职责明确。数据采集层负责终端接入和数据留痕，推理服务层负责模型加载和推理输出，应用展示层负责视图数据消费和页面展示。各层通过标准化数据和 API 连接，避免协议解析、模型运行和页面展示互相耦合。</w:t>
      </w:r>
    </w:p>
    <w:p>
      <w:pPr>
        <w:spacing w:line="300" w:lineRule="auto" w:before="0" w:after="0"/>
        <w:ind w:firstLine="480"/>
      </w:pPr>
      <w:r>
        <w:rPr>
          <w:rFonts w:ascii="Times New Roman" w:hAnsi="Times New Roman" w:eastAsia="宋体"/>
          <w:color w:val="000000"/>
          <w:sz w:val="24"/>
        </w:rP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本文系统采用三层架构，包括数据采集层、NILM 推理服务层和应用展示层。三层之间通过结构化采集记录、推理服务接口和应用视图接口连接，使数据采集、模型推理和页面展示可以分别演进。总体架构如图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t>数据采集层负责真实终端或模拟终端的数据接入。该层的核心能力包括 TCP 监听、多连接管理、固定协议报文解析、设备在线状态维护和数据持久化。该层输出标准化的时序记录和采集状态信息，不承担模型训练和应用页面逻辑。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该层输出设备级预测功率、开关事件、模型版本和会话状态。</w:t>
      </w:r>
    </w:p>
    <w:p>
      <w:pPr>
        <w:spacing w:line="300" w:lineRule="auto" w:before="0" w:after="0"/>
        <w:ind w:firstLine="480"/>
      </w:pPr>
      <w:r>
        <w:rPr>
          <w:rFonts w:ascii="Times New Roman" w:hAnsi="Times New Roman" w:eastAsia="宋体"/>
          <w:color w:val="000000"/>
          <w:sz w:val="24"/>
        </w:rPr>
        <w:t>应用展示层负责把推理结果组织为用户可理解的页面。该层不复用工程验证控制台作为最终产品页面，而是通过后端视图适配接口将推理结果转换为首页总览、设备详情和系统状态所需的视图数据。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t>（1）采集存储流程。终端或模拟终端向采集服务发送报文，采集服务接收 TCP 字节流后按协议解析设备标识、时间信息和电气量字段。解析成功的数据写入结构化记录，解析失败的数据记录异常类型和原始信息。该流程为后续推理和测试提供可追溯输入。</w:t>
      </w:r>
    </w:p>
    <w:p>
      <w:pPr>
        <w:spacing w:line="300" w:lineRule="auto" w:before="0" w:after="0"/>
        <w:ind w:firstLine="480"/>
      </w:pPr>
      <w:r>
        <w:rPr>
          <w:rFonts w:ascii="Times New Roman" w:hAnsi="Times New Roman" w:eastAsia="宋体"/>
          <w:color w:val="000000"/>
          <w:sz w:val="24"/>
        </w:rP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w:t>
      </w:r>
    </w:p>
    <w:p>
      <w:pPr>
        <w:spacing w:line="300" w:lineRule="auto" w:before="0" w:after="0"/>
        <w:ind w:firstLine="480"/>
      </w:pPr>
      <w:r>
        <w:rPr>
          <w:rFonts w:ascii="Times New Roman" w:hAnsi="Times New Roman" w:eastAsia="宋体"/>
          <w:color w:val="000000"/>
          <w:sz w:val="24"/>
        </w:rP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系统的关键接口包括采集记录结构、模型包契约、推理服务接口和应用视图接口。接口设计目标是让数据采集、模型推理和应用展示可以分别演进，同时保持可验证的连接关系。</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t>推理服务接口分为健康检查、会话管理、数据写入、结果查询和离线推理几类。在线会话接口通过启动会话、写入采样点和查询最新状态完成滚动推理；离线推理接口通过区间参数返回预测序列、事件和指标。</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t>应用视图接口用于连接推理服务层和应用展示层。后端视图适配接口内部可以调用推理服务接口，但前端只依赖应用级接口和视图数据结构。基础实现范围内，前端依赖首页总览、设备详情和系统状态三类接口。</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t>NILM 方案的核心优势在于低侵入式部署。系统只需围绕总进线或总表侧采集总负荷数据，再通过模型推理获得设备级用电估计结果。与侵入式方案相比，该方案减少了传感器数量和安装改造工作，降低了设备接入门槛；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p>
      <w:pPr>
        <w:spacing w:line="300" w:lineRule="auto" w:after="0"/>
        <w:ind w:firstLine="480"/>
      </w:pPr>
    </w:p>
    <w:p>
      <w:pPr>
        <w:spacing w:line="300" w:lineRule="auto" w:after="0"/>
        <w:ind w:firstLine="480"/>
      </w:pPr>
    </w:p>
    <w:p>
      <w:pPr/>
    </w:p>
    <w:p>
      <w:pPr>
        <w:spacing w:line="300" w:lineRule="auto" w:after="0"/>
        <w:ind w:firstLine="480"/>
      </w:pP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w:t>
      </w:r>
    </w:p>
    <w:p>
      <w:pPr>
        <w:spacing w:before="0" w:after="0" w:line="300" w:lineRule="auto"/>
      </w:pPr>
      <w:r>
        <w:t>[15] JSON Lines. JSON Lines text file format[EB/OL].</w:t>
      </w:r>
    </w:p>
    <w:p>
      <w:pPr>
        <w:spacing w:before="0" w:after="0" w:line="300" w:lineRule="auto"/>
      </w:pPr>
      <w:r>
        <w:t>[16] ONNX. Open Neural Network Exchange[EB/OL].</w:t>
      </w:r>
    </w:p>
    <w:p>
      <w:pPr>
        <w:spacing w:before="0" w:after="0" w:line="300" w:lineRule="auto"/>
      </w:pPr>
      <w:r>
        <w:t>[17] ONNX Runtime. ONNX Runtime documentation[EB/OL].</w:t>
      </w:r>
    </w:p>
    <w:p>
      <w:pPr>
        <w:spacing w:before="0" w:after="0" w:line="300" w:lineRule="auto"/>
      </w:pPr>
      <w:r>
        <w:t>[18] FastAPI. FastAPI documentation[EB/OL].</w:t>
      </w:r>
    </w:p>
    <w:p>
      <w:pPr>
        <w:spacing w:before="0" w:after="0" w:line="300" w:lineRule="auto"/>
      </w:pPr>
      <w:r>
        <w:t>[19] Fielding R, Nottingham M, Reschke J. HTTP Semantics: RFC 9110[S/OL]. IETF, 2022.</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