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color w:val="000000"/>
          <w:sz w:val="28"/>
        </w:rPr>
      </w:r>
      <w:r>
        <w:t>前三章正文稿 V2.6</w:t>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目    录</w:t>
      </w:r>
    </w:p>
    <w:p>
      <w:pPr>
        <w:spacing w:line="264" w:lineRule="auto"/>
      </w:pPr>
      <w:r>
        <w:t>第1章 绪论................................1</w:t>
      </w:r>
    </w:p>
    <w:p>
      <w:pPr>
        <w:spacing w:line="264" w:lineRule="auto"/>
      </w:pPr>
      <w:r>
        <w:t>1.1 研究背景与意义..........................1</w:t>
      </w:r>
    </w:p>
    <w:p>
      <w:pPr>
        <w:spacing w:line="264" w:lineRule="auto"/>
      </w:pPr>
      <w:r>
        <w:t>1.2 国内外研究现状..........................2</w:t>
      </w:r>
    </w:p>
    <w:p>
      <w:pPr>
        <w:spacing w:line="264" w:lineRule="auto"/>
      </w:pPr>
      <w:r>
        <w:t>1.3 研究内容与技术路线........................3</w:t>
      </w:r>
    </w:p>
    <w:p>
      <w:pPr>
        <w:spacing w:line="264" w:lineRule="auto"/>
      </w:pPr>
      <w:r>
        <w:t>1.4 本文主要工作...........................4</w:t>
      </w:r>
    </w:p>
    <w:p>
      <w:pPr>
        <w:spacing w:line="264" w:lineRule="auto"/>
      </w:pPr>
      <w:r>
        <w:t>1.5 论文组织结构...........................4</w:t>
      </w:r>
    </w:p>
    <w:p>
      <w:pPr>
        <w:spacing w:line="264" w:lineRule="auto"/>
      </w:pPr>
      <w:r>
        <w:t>第2章 相关技术与需求分析.........................6</w:t>
      </w:r>
    </w:p>
    <w:p>
      <w:pPr>
        <w:spacing w:line="264" w:lineRule="auto"/>
      </w:pPr>
      <w:r>
        <w:t>2.1 非侵入式负荷监测技术概述.....................6</w:t>
      </w:r>
    </w:p>
    <w:p>
      <w:pPr>
        <w:spacing w:line="264" w:lineRule="auto"/>
      </w:pPr>
      <w:r>
        <w:t>2.2 系统关键技术...........................6</w:t>
      </w:r>
    </w:p>
    <w:p>
      <w:pPr>
        <w:spacing w:line="264" w:lineRule="auto"/>
      </w:pPr>
      <w:r>
        <w:t>2.3 系统功能需求分析.........................7</w:t>
      </w:r>
    </w:p>
    <w:p>
      <w:pPr>
        <w:spacing w:line="264" w:lineRule="auto"/>
      </w:pPr>
      <w:r>
        <w:t>2.4 系统非功能需求分析........................9</w:t>
      </w:r>
    </w:p>
    <w:p>
      <w:pPr>
        <w:spacing w:line="264" w:lineRule="auto"/>
      </w:pPr>
      <w:r>
        <w:t>2.5 本章小结............................10</w:t>
      </w:r>
    </w:p>
    <w:p>
      <w:pPr>
        <w:spacing w:line="264" w:lineRule="auto"/>
      </w:pPr>
      <w:r>
        <w:t>第3章 系统总体设计...........................11</w:t>
      </w:r>
    </w:p>
    <w:p>
      <w:pPr>
        <w:spacing w:line="264" w:lineRule="auto"/>
      </w:pPr>
      <w:r>
        <w:t>3.1 系统设计目标..........................11</w:t>
      </w:r>
    </w:p>
    <w:p>
      <w:pPr>
        <w:spacing w:line="264" w:lineRule="auto"/>
      </w:pPr>
      <w:r>
        <w:t>3.2 系统总体架构..........................12</w:t>
      </w:r>
    </w:p>
    <w:p>
      <w:pPr>
        <w:spacing w:line="264" w:lineRule="auto"/>
      </w:pPr>
      <w:r>
        <w:t>3.3 数据流与业务流程设计......................13</w:t>
      </w:r>
    </w:p>
    <w:p>
      <w:pPr>
        <w:spacing w:line="264" w:lineRule="auto"/>
      </w:pPr>
      <w:r>
        <w:t>3.4 关键模块划分..........................14</w:t>
      </w:r>
    </w:p>
    <w:p>
      <w:pPr>
        <w:spacing w:line="264" w:lineRule="auto"/>
      </w:pPr>
      <w:r>
        <w:t>3.5 数据接口与模型包契约设计....................15</w:t>
      </w:r>
    </w:p>
    <w:p>
      <w:pPr>
        <w:spacing w:line="264" w:lineRule="auto"/>
      </w:pPr>
      <w:r>
        <w:t>3.6 技术经济与可行性分析......................17</w:t>
      </w:r>
    </w:p>
    <w:p>
      <w:pPr>
        <w:spacing w:line="264" w:lineRule="auto"/>
      </w:pPr>
      <w:r>
        <w:t>3.7 本章小结............................18</w:t>
      </w:r>
    </w:p>
    <w:p>
      <w:pPr>
        <w:spacing w:line="264" w:lineRule="auto"/>
      </w:pPr>
      <w:r>
        <w:t>参 考 文 献............................20</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第1章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w:t>
      </w:r>
      <w:r>
        <w:rPr>
          <w:rFonts w:ascii="Times New Roman" w:hAnsi="Times New Roman" w:eastAsia="宋体"/>
          <w:color w:val="000000"/>
          <w:sz w:val="24"/>
          <w:vertAlign w:val="superscript"/>
        </w:rPr>
        <w:t>[1]</w:t>
      </w:r>
      <w:r>
        <w:rPr>
          <w:rFonts w:ascii="Times New Roman" w:hAnsi="Times New Roman" w:eastAsia="宋体"/>
          <w:color w:val="000000"/>
          <w:sz w:val="24"/>
        </w:rPr>
        <w:t>。与为每个设备单独安装计量装置的侵入式监测方式相比，NILM 具有安装改造少、维护成本低、对用户环境影响小等特点，更适合家庭和小型建筑等场景中的用电监测应用</w:t>
      </w:r>
      <w:r>
        <w:rPr>
          <w:rFonts w:ascii="Times New Roman" w:hAnsi="Times New Roman" w:eastAsia="宋体"/>
          <w:color w:val="000000"/>
          <w:sz w:val="24"/>
          <w:vertAlign w:val="superscript"/>
        </w:rPr>
        <w:t>[2]</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研究已经在事件检测、负荷分解、深度学习模型和公开数据集评估等方面形成了较多成果。事件检测研究为从总负荷信号中定位设备启停和负荷变化提供了基础</w:t>
      </w:r>
      <w:r>
        <w:rPr>
          <w:rFonts w:ascii="Times New Roman" w:hAnsi="Times New Roman" w:eastAsia="宋体"/>
          <w:color w:val="000000"/>
          <w:sz w:val="24"/>
          <w:vertAlign w:val="superscript"/>
        </w:rPr>
        <w:t>[6]</w:t>
      </w:r>
      <w:r>
        <w:rPr>
          <w:rFonts w:ascii="Times New Roman" w:hAnsi="Times New Roman" w:eastAsia="宋体"/>
          <w:color w:val="000000"/>
          <w:sz w:val="24"/>
        </w:rPr>
        <w:t>。负荷特征研究从稳态功率、谐波、电压电流轨迹等角度总结了设备可区分特征的构成方式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。深度学习研究进一步推动了 NILM 从人工特征和显式状态建模向数据驱动建模发展</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。序列到点学习则是深度学习 NILM 中具有代表性的建模方式之一</w:t>
      </w:r>
      <w:r>
        <w:rPr>
          <w:rFonts w:ascii="Times New Roman" w:hAnsi="Times New Roman" w:eastAsia="宋体"/>
          <w:color w:val="000000"/>
          <w:sz w:val="24"/>
          <w:vertAlign w:val="superscript"/>
        </w:rPr>
        <w:t>[9]</w:t>
      </w:r>
      <w:r>
        <w:rPr>
          <w:rFonts w:ascii="Times New Roman" w:hAnsi="Times New Roman" w:eastAsia="宋体"/>
          <w:color w:val="000000"/>
          <w:sz w:val="24"/>
        </w:rPr>
        <w:t>。公开数据集为不同算法之间的复现实验提供了基础数据条件</w:t>
      </w:r>
      <w:r>
        <w:rPr>
          <w:rFonts w:ascii="Times New Roman" w:hAnsi="Times New Roman" w:eastAsia="宋体"/>
          <w:color w:val="000000"/>
          <w:sz w:val="24"/>
          <w:vertAlign w:val="superscript"/>
        </w:rPr>
        <w:t>[10]</w:t>
      </w:r>
      <w:r>
        <w:rPr>
          <w:rFonts w:ascii="Times New Roman" w:hAnsi="Times New Roman" w:eastAsia="宋体"/>
          <w:color w:val="000000"/>
          <w:sz w:val="24"/>
        </w:rPr>
        <w:t>，开源工具链则为数据集解析、算法比较和评价指标计算提供了统一实现基础</w:t>
      </w:r>
      <w:r>
        <w:rPr>
          <w:rFonts w:ascii="Times New Roman" w:hAnsi="Times New Roman" w:eastAsia="宋体"/>
          <w:color w:val="000000"/>
          <w:sz w:val="24"/>
          <w:vertAlign w:val="superscript"/>
        </w:rPr>
        <w:t>[11]</w:t>
      </w:r>
      <w:r>
        <w:rPr>
          <w:rFonts w:ascii="Times New Roman" w:hAnsi="Times New Roman" w:eastAsia="宋体"/>
          <w:color w:val="000000"/>
          <w:sz w:val="24"/>
        </w:rPr>
        <w:t>。这些研究为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w:t>
      </w:r>
      <w:r>
        <w:rPr>
          <w:rFonts w:ascii="Times New Roman" w:hAnsi="Times New Roman" w:eastAsia="宋体"/>
          <w:color w:val="000000"/>
          <w:sz w:val="24"/>
          <w:vertAlign w:val="superscript"/>
        </w:rPr>
        <w:t>[4]</w:t>
      </w:r>
      <w:r>
        <w:rPr>
          <w:rFonts w:ascii="Times New Roman" w:hAnsi="Times New Roman" w:eastAsia="宋体"/>
          <w:color w:val="000000"/>
          <w:sz w:val="24"/>
        </w:rPr>
        <w:t>。如果这些环节之间缺少清晰边界和可验证接口，模型即使在离线数据上取得较好结果，也难以形成稳定的在线监测系统。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r>
      <w:r>
        <w:t>因此，本文不将研究重点放在提出新的 NILM 算法上，而是面向家庭能耗场景，设计一个 NILM 在线监测与推理系统，并在后续章节说明其主要模块实现。系统围绕数据采集层、NILM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为后续实现从数据输入到结果展示的工程闭环提供设计基础。</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w:t>
      </w:r>
      <w:r>
        <w:rPr>
          <w:rFonts w:ascii="Times New Roman" w:hAnsi="Times New Roman" w:eastAsia="宋体"/>
          <w:color w:val="000000"/>
          <w:sz w:val="24"/>
          <w:vertAlign w:val="superscript"/>
        </w:rPr>
        <w:t>[1]</w:t>
      </w:r>
      <w:r>
        <w:rPr>
          <w:rFonts w:ascii="Times New Roman" w:hAnsi="Times New Roman" w:eastAsia="宋体"/>
          <w:color w:val="000000"/>
          <w:sz w:val="24"/>
        </w:rPr>
        <w:t>。早期 NILM 方法主要依赖功率阶跃、稳态功率、设备启停事件等人工特征</w:t>
      </w:r>
      <w:r>
        <w:rPr>
          <w:rFonts w:ascii="Times New Roman" w:hAnsi="Times New Roman" w:eastAsia="宋体"/>
          <w:color w:val="000000"/>
          <w:sz w:val="24"/>
          <w:vertAlign w:val="superscript"/>
        </w:rPr>
        <w:t>[1]</w:t>
      </w:r>
      <w:r>
        <w:rPr>
          <w:rFonts w:ascii="Times New Roman" w:hAnsi="Times New Roman" w:eastAsia="宋体"/>
          <w:color w:val="000000"/>
          <w:sz w:val="24"/>
        </w:rPr>
        <w:t>。负荷签名研究进一步从稳态功率、谐波、电压电流轨迹等角度总结了设备可区分特征的构成方式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。此类方法计算量较小、可解释性较强，在设备功率特征明显、同时运行设备较少的场景下具有一定效果。但在真实家庭环境中，多设备同时运行、设备功率相近、噪声干扰、采样缺失等因素会增加负荷分解难度</w:t>
      </w:r>
      <w:r>
        <w:rPr>
          <w:rFonts w:ascii="Times New Roman" w:hAnsi="Times New Roman" w:eastAsia="宋体"/>
          <w:color w:val="000000"/>
          <w:sz w:val="24"/>
          <w:vertAlign w:val="superscript"/>
        </w:rPr>
        <w:t>[3]</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任务。隐马尔可夫模型及其扩展形式可以将负荷分解问题转化为设备状态序列的概率推断问题</w:t>
      </w:r>
      <w:r>
        <w:rPr>
          <w:rFonts w:ascii="Times New Roman" w:hAnsi="Times New Roman" w:eastAsia="宋体"/>
          <w:color w:val="000000"/>
          <w:sz w:val="24"/>
          <w:vertAlign w:val="superscript"/>
        </w:rPr>
        <w:t>[7]</w:t>
      </w:r>
      <w:r>
        <w:rPr>
          <w:rFonts w:ascii="Times New Roman" w:hAnsi="Times New Roman" w:eastAsia="宋体"/>
          <w:color w:val="000000"/>
          <w:sz w:val="24"/>
        </w:rPr>
        <w:t>。深度学习方法能够从历史负荷序列中学习设备运行模式，减少对手工特征的依赖</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。序列到点学习方法进一步将滑动窗口内的总功率序列映射到目标时刻的设备功率估计，在公开数据集上取得了较有代表性的结果</w:t>
      </w:r>
      <w:r>
        <w:rPr>
          <w:rFonts w:ascii="Times New Roman" w:hAnsi="Times New Roman" w:eastAsia="宋体"/>
          <w:color w:val="000000"/>
          <w:sz w:val="24"/>
          <w:vertAlign w:val="superscript"/>
        </w:rPr>
        <w:t>[9]</w:t>
      </w:r>
      <w:r>
        <w:rPr>
          <w:rFonts w:ascii="Times New Roman" w:hAnsi="Times New Roman" w:eastAsia="宋体"/>
          <w:color w:val="000000"/>
          <w:sz w:val="24"/>
        </w:rPr>
        <w:t>。相关研究通常使用 MAE、RMSE、Precision、Recall、F1 等指标评价功率预测误差和事件识别效果</w:t>
      </w:r>
      <w:r>
        <w:rPr>
          <w:rFonts w:ascii="Times New Roman" w:hAnsi="Times New Roman" w:eastAsia="宋体"/>
          <w:color w:val="000000"/>
          <w:sz w:val="24"/>
          <w:vertAlign w:val="superscript"/>
        </w:rPr>
        <w:t>[11]</w:t>
      </w:r>
      <w:r>
        <w:rPr>
          <w:rFonts w:ascii="Times New Roman" w:hAnsi="Times New Roman" w:eastAsia="宋体"/>
          <w:color w:val="000000"/>
          <w:sz w:val="24"/>
        </w:rPr>
        <w:t>。算法研究推动了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系统的工程化部署也逐渐受到关注。真实部署研究指出，NILM 从算法验证走向应用系统时，需要同时处理数据采集、模型训练、系统部署、计算资源和服务延迟等问题</w:t>
      </w:r>
      <w:r>
        <w:rPr>
          <w:rFonts w:ascii="Times New Roman" w:hAnsi="Times New Roman" w:eastAsia="宋体"/>
          <w:color w:val="000000"/>
          <w:sz w:val="24"/>
          <w:vertAlign w:val="superscript"/>
        </w:rPr>
        <w:t>[4]</w:t>
      </w:r>
      <w:r>
        <w:rPr>
          <w:rFonts w:ascii="Times New Roman" w:hAnsi="Times New Roman" w:eastAsia="宋体"/>
          <w:color w:val="000000"/>
          <w:sz w:val="24"/>
        </w:rPr>
        <w:t>。部分研究将负荷识别模型部署到嵌入式设备或边缘计算节点，关注实时性、算力约束和模型压缩</w:t>
      </w:r>
      <w:r>
        <w:rPr>
          <w:rFonts w:ascii="Times New Roman" w:hAnsi="Times New Roman" w:eastAsia="宋体"/>
          <w:color w:val="000000"/>
          <w:sz w:val="24"/>
          <w:vertAlign w:val="superscript"/>
        </w:rPr>
        <w:t>[13]</w:t>
      </w:r>
      <w:r>
        <w:rPr>
          <w:rFonts w:ascii="Times New Roman" w:hAnsi="Times New Roman" w:eastAsia="宋体"/>
          <w:color w:val="000000"/>
          <w:sz w:val="24"/>
        </w:rPr>
        <w:t>。也有研究基于物联网或云平台构建在线监测系统，将数据采集、云端处理、用户展示和远程管理结合起来</w:t>
      </w:r>
      <w:r>
        <w:rPr>
          <w:rFonts w:ascii="Times New Roman" w:hAnsi="Times New Roman" w:eastAsia="宋体"/>
          <w:color w:val="000000"/>
          <w:sz w:val="24"/>
          <w:vertAlign w:val="superscript"/>
        </w:rPr>
        <w:t>[12]</w:t>
      </w:r>
      <w:r>
        <w:rPr>
          <w:rFonts w:ascii="Times New Roman" w:hAnsi="Times New Roman" w:eastAsia="宋体"/>
          <w:color w:val="000000"/>
          <w:sz w:val="24"/>
        </w:rPr>
        <w:t>。这类工作说明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w:t>
      </w:r>
      <w:r>
        <w:rPr>
          <w:rFonts w:ascii="Times New Roman" w:hAnsi="Times New Roman" w:eastAsia="宋体"/>
          <w:color w:val="000000"/>
          <w:sz w:val="24"/>
          <w:vertAlign w:val="superscript"/>
        </w:rPr>
        <w:t>[12]</w:t>
      </w:r>
      <w:r>
        <w:rPr>
          <w:rFonts w:ascii="Times New Roman" w:hAnsi="Times New Roman" w:eastAsia="宋体"/>
          <w:color w:val="000000"/>
          <w:sz w:val="24"/>
        </w:rPr>
        <w:t>。第三，离线实验结果和在线运行效果之间存在差异，系统需要通过回放、接口检查和端到端测试证明推理链路实际可用</w:t>
      </w:r>
      <w:r>
        <w:rPr>
          <w:rFonts w:ascii="Times New Roman" w:hAnsi="Times New Roman" w:eastAsia="宋体"/>
          <w:color w:val="000000"/>
          <w:sz w:val="24"/>
          <w:vertAlign w:val="superscript"/>
        </w:rPr>
        <w:t>[4]</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r>
      <w:r>
        <w:t>（4）设计应用展示层的基础功能范围与端到端验证路径。应用展示层通过后端视图适配接口消费推理服务输出，提供首页总览、设备详情和系统状态等基础页面；后续将通过测试脚本、运行状态记录和页面展示结果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第1章为绪论，介绍研究背景与意义、国内外研究现状、本文研究内容、技术路线和主要工作。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第2章为相关技术与需求分析，介绍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第3章为系统总体设计，说明系统设计目标、总体架构、数据流、模块划分、关键数据接口、模型包契约以及技术经济与可行性分析。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第4章为数据采集与预处理模块设计实现，重点介绍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第5章为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第6章为系统应用界面与功能实现，介绍应用展示层功能定位、后端视图适配接口、首页总览、设备详情、系统状态和推理结果展示。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第7章为系统测试与结果分析，从采集模块、推理服务、模型指标、在线回放和端到端运行等角度验证系统功能，并分析测试结果和不足。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第2章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r>
      <w:r>
        <w:t>非侵入式负荷监测是一种通过总进线或总电表处电气量数据推断单个用电设备运行状态和能耗情况的技术</w:t>
      </w:r>
      <w:r>
        <w:rPr>
          <w:vertAlign w:val="superscript"/>
        </w:rPr>
        <w:t>[1]</w:t>
      </w:r>
      <w:r>
        <w:t>。其输入通常是按时间排列的总负荷数据，例如总有功功率序列、电压序列、电流序列或多个电气量组合特征；其输出可以是目标电器的功率估计值、设备开关状态、启停事件或能耗统计结果</w:t>
      </w:r>
      <w:r>
        <w:rPr>
          <w:vertAlign w:val="superscript"/>
        </w:rPr>
        <w:t>[3]</w:t>
      </w:r>
      <w:r>
        <w:t>。对于家庭能耗场景而言，NILM 的价值在于用较低部署成本获得设备级用电信息，为能耗分析和设备状态展示提供基础</w:t>
      </w:r>
      <w:r>
        <w:rPr>
          <w:vertAlign w:val="superscript"/>
        </w:rPr>
        <w:t>[2]</w:t>
      </w:r>
      <w:r>
        <w:t>。</w:t>
      </w:r>
    </w:p>
    <w:p>
      <w:pPr>
        <w:spacing w:line="300" w:lineRule="auto" w:before="0" w:after="0"/>
        <w:ind w:firstLine="480"/>
      </w:pPr>
      <w:r>
        <w:rPr>
          <w:rFonts w:ascii="Times New Roman" w:hAnsi="Times New Roman" w:eastAsia="宋体"/>
          <w:color w:val="000000"/>
          <w:sz w:val="24"/>
        </w:rPr>
      </w:r>
      <w:r>
        <w:t>NILM 任务一般包含负荷分解和事件检测两类目标。负荷分解关注在每个时间点估计目标设备功率，适合展示设备用电曲线和计算能耗占比</w:t>
      </w:r>
      <w:r>
        <w:rPr>
          <w:vertAlign w:val="superscript"/>
        </w:rPr>
        <w:t>[3]</w:t>
      </w:r>
      <w:r>
        <w:t>；事件检测关注设备启停变化，适合展示开关事件、运行片段和异常行为</w:t>
      </w:r>
      <w:r>
        <w:rPr>
          <w:vertAlign w:val="superscript"/>
        </w:rPr>
        <w:t>[6]</w:t>
      </w:r>
      <w:r>
        <w:t>。两类结果可以相互补充：功率序列能够提供连续变化趋势，事件结果能够提供更容易被用户理解的状态变化。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r>
      <w:r>
        <w:t>从方法角度看，NILM 可以使用基于事件检测、基于电气特征、基于概率模型和基于深度学习的方法。事件检测方法关注总功率突变，适合识别功率变化明显的设备</w:t>
      </w:r>
      <w:r>
        <w:rPr>
          <w:vertAlign w:val="superscript"/>
        </w:rPr>
        <w:t>[6]</w:t>
      </w:r>
      <w:r>
        <w:t>；电气特征方法利用功率因数、谐波、V-I 轨迹等特征提高区分能力</w:t>
      </w:r>
      <w:r>
        <w:rPr>
          <w:vertAlign w:val="superscript"/>
        </w:rPr>
        <w:t>[5]</w:t>
      </w:r>
      <w:r>
        <w:t>；概率模型方法将设备状态视为隐状态序列进行推断</w:t>
      </w:r>
      <w:r>
        <w:rPr>
          <w:vertAlign w:val="superscript"/>
        </w:rPr>
        <w:t>[7]</w:t>
      </w:r>
      <w:r>
        <w:t>；深度学习方法通过神经网络从历史负荷序列中学习设备运行模式</w:t>
      </w:r>
      <w:r>
        <w:rPr>
          <w:vertAlign w:val="superscript"/>
        </w:rPr>
        <w:t>[8]</w:t>
      </w:r>
      <w:r>
        <w:t>。本文不展开新的算法结构设计，而是在已有模型训练结果基础上，重点解决模型如何作为系统能力被加载、调用、验证和展示。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r>
      <w:r>
        <w:t>NILM 评价通常包括功率误差指标和事件指标。功率误差可使用 MAE、RMSE、MeanDiff、MaxAbsDiff 等指标衡量预测功率与真实功率之间的差异；事件识别可使用 Precision、Recall、F1 和事件时间偏差等指标衡量开关事件检测效果</w:t>
      </w:r>
      <w:r>
        <w:rPr>
          <w:vertAlign w:val="superscript"/>
        </w:rPr>
        <w:t>[11]</w:t>
      </w:r>
      <w:r>
        <w:t>。本文后续测试章节将结合离线区间推理和在线回放结果，说明系统推理链路和模型输出是否满足演示与分析需要。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r>
      <w: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w:t>
      </w:r>
      <w:r>
        <w:rPr>
          <w:vertAlign w:val="superscript"/>
        </w:rPr>
        <w:t>[14]</w:t>
      </w:r>
      <w:r>
        <w:t>；推理服务侧围绕 Python 推理环境、模型文件、模型元数据和 HTTP 接口组织模型调用</w:t>
      </w:r>
      <w:r>
        <w:rPr>
          <w:vertAlign w:val="superscript"/>
        </w:rPr>
        <w:t>[18]</w:t>
      </w:r>
      <w:r>
        <w:t>；应用展示侧采用前后端分离思路，由后端视图适配接口向页面提供首页总览、设备详情和系统状态所需数据。上述技术选择服务于系统可运行、可复现和可验证的目标。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r>
      <w:r>
        <w:t>第一，TCP 通信与协议解析。数据采集层需要接收终端或模拟终端发送的连续数据流。TCP 提供可靠的面向连接传输，适合终端持续上报用电数据</w:t>
      </w:r>
      <w:r>
        <w:rPr>
          <w:vertAlign w:val="superscript"/>
        </w:rPr>
        <w:t>[14]</w:t>
      </w:r>
      <w:r>
        <w:t>。采集服务需要监听端口、管理连接、处理断开和异常输入，并按照约定协议解析设备标识、时间信息、电压、电流和功率等字段。协议解析结果既用于实时显示，也用于后续落盘和推理数据构建。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r>
      <w:r>
        <w:t>第二，数据留痕与时序记录。采集数据需要保留原始报文和结构化解析结果。原始报文用于问题复核，结构化记录用于后续处理。本文系统采用 JSON Lines（JSONL）轻量级文件留痕方式保存采集结果，使每条记录包含时间、设备、原始数据、解析字段和状态信息</w:t>
      </w:r>
      <w:r>
        <w:rPr>
          <w:vertAlign w:val="superscript"/>
        </w:rPr>
        <w:t>[15]</w:t>
      </w:r>
      <w:r>
        <w:t>。该设计降低了调试成本，也为后续模型训练、推理测试和论文实验结果复现提供依据。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r>
      <w:r>
        <w:t>第三，时间序列窗口与模型输入。NILM 模型通常要求固定采样周期和固定窗口长度。推理服务需要将标准化功率序列构造成模型输入窗口，并在在线会话中维护滚动缓冲区。当缓冲区长度达到模型要求时，服务才触发推理。序列到点等 NILM 方法也体现了以时间窗口构造模型输入并输出目标时刻估计值的思路</w:t>
      </w:r>
      <w:r>
        <w:rPr>
          <w:vertAlign w:val="superscript"/>
        </w:rPr>
        <w:t>[9]</w:t>
      </w:r>
      <w:r>
        <w:t>。该机制使离线推理和在线推理能够使用一致的输入规则，减少训练、评估和服务运行之间的口径差异。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r>
      <w:r>
        <w:t>第四，模型包与推理服务。为了避免模型文件、归一化参数、后处理规则分散管理，本文将模型组织为模型包。模型包包含 ONNX 模型文件、模型元数据、归一化参数、后处理配置、接口说明和包清单</w:t>
      </w:r>
      <w:r>
        <w:rPr>
          <w:vertAlign w:val="superscript"/>
        </w:rPr>
        <w:t>[16]</w:t>
      </w:r>
      <w:r>
        <w:t>。推理服务加载模型包时检查接口版本、采样周期、输入输出形状和目标设备顺序，并通过推理运行时执行模型调用</w:t>
      </w:r>
      <w:r>
        <w:rPr>
          <w:vertAlign w:val="superscript"/>
        </w:rPr>
        <w:t>[17]</w:t>
      </w:r>
      <w:r>
        <w:t>；推理完成后输出设备功率、事件信息、模型版本和运行状态。</w:t>
      </w:r>
    </w:p>
    <w:p>
      <w:pPr>
        <w:spacing w:line="300" w:lineRule="auto" w:before="0" w:after="0"/>
        <w:ind w:firstLine="480"/>
      </w:pPr>
      <w:r>
        <w:rPr>
          <w:rFonts w:ascii="Times New Roman" w:hAnsi="Times New Roman" w:eastAsia="宋体"/>
          <w:color w:val="000000"/>
          <w:sz w:val="24"/>
        </w:rPr>
      </w:r>
      <w: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真实部署研究也强调 NILM 系统落地时需要关注模型效果之外的数据链路、运行环境和系统验证问题</w:t>
      </w:r>
      <w:r>
        <w:rPr>
          <w:vertAlign w:val="superscript"/>
        </w:rPr>
        <w:t>[4]</w:t>
      </w:r>
      <w:r>
        <w:t>。</w:t>
      </w:r>
    </w:p>
    <w:p>
      <w:pPr>
        <w:spacing w:line="300" w:lineRule="auto" w:before="0" w:after="0"/>
        <w:ind w:firstLine="480"/>
      </w:pPr>
      <w:r>
        <w:rPr>
          <w:rFonts w:ascii="Times New Roman" w:hAnsi="Times New Roman" w:eastAsia="宋体"/>
          <w:color w:val="000000"/>
          <w:sz w:val="24"/>
        </w:rPr>
      </w:r>
      <w:r>
        <w:t>第六，应用展示与后端视图适配接口。应用展示层不直接消费推理服务的原始响应，也不在前端推断设备状态或计算能耗。应用后端作为视图适配层通过 HTTP 接口调用推理服务，将下游结果整理为首页总览、设备详情和系统状态等页面所需的视图数据</w:t>
      </w:r>
      <w:r>
        <w:rPr>
          <w:vertAlign w:val="superscript"/>
        </w:rPr>
        <w:t>[19]</w:t>
      </w:r>
      <w:r>
        <w:t>。前端只负责渲染视图数据，减少页面逻辑和推理逻辑耦合。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第3章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r>
      <w:r/>
      <w:r>
        <w:rPr>
          <w:vertAlign w:val="superscript"/>
        </w:rPr>
      </w:r>
      <w:r/>
      <w:r>
        <w:t>根据前文需求分析，本文系统的总体目标是设计一个面向家庭能耗场景的 NILM 在线监测与推理系统，并为后续实现从用电数据进入、协议解析、数据存储、模型推理到结果展示的闭环提供总体方案。系统设计不以单一算法指标为唯一目标，而是强调 NILM 模型能力在工程系统中的接入、运行、验证和展示；真实部署研究也指出，NILM 从算法验证走向应用系统时需要同时关注数据链路、运行环境、计算资源和服务验证等问题</w:t>
      </w:r>
      <w:r>
        <w:rPr>
          <w:vertAlign w:val="superscript"/>
        </w:rPr>
        <w:t>[4]</w:t>
      </w:r>
      <w:r>
        <w:t>。</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r>
      <w:r>
        <w:t>第一，采集数据如何可靠进入系统。数据采集层需要接收终端或模拟终端输入，解析协议字段，维护设备状态，并保存原始数据和结构化记录，为后续推理提供可信输入。在线监测系统研究通常也将数据采集、通信传输和识别处理作为连续链路组织</w:t>
      </w:r>
      <w:r>
        <w:rPr>
          <w:vertAlign w:val="superscript"/>
        </w:rPr>
        <w:t>[12]</w:t>
      </w:r>
      <w:r>
        <w:t>。</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r>
      <w:r>
        <w:t>（1）分层职责明确。数据采集层负责终端接入和数据留痕，推理服务层负责模型加载和推理输出，应用展示层负责视图数据消费和页面展示。各层通过标准化数据和 API 连接，避免协议解析、模型运行和页面展示互相耦合</w:t>
      </w:r>
      <w:r>
        <w:rPr>
          <w:vertAlign w:val="superscript"/>
        </w:rPr>
        <w:t>[19]</w:t>
      </w:r>
      <w:r>
        <w:t>。</w:t>
      </w:r>
    </w:p>
    <w:p>
      <w:pPr>
        <w:spacing w:line="300" w:lineRule="auto" w:before="0" w:after="0"/>
        <w:ind w:firstLine="480"/>
      </w:pPr>
      <w:r>
        <w:rPr>
          <w:rFonts w:ascii="Times New Roman" w:hAnsi="Times New Roman" w:eastAsia="宋体"/>
          <w:color w:val="000000"/>
          <w:sz w:val="24"/>
        </w:rPr>
      </w:r>
      <w: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OpenAPI 规范也将 HTTP API 描述为可被人和计算机理解的接口说明形式，可为接口路径、操作和响应结构提供表达依据</w:t>
      </w:r>
      <w:r>
        <w:rPr>
          <w:vertAlign w:val="superscript"/>
        </w:rPr>
        <w:t>[20]</w:t>
      </w:r>
      <w:r>
        <w:t>。</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r>
      <w:r>
        <w:t>本文系统采用三层架构，包括数据采集层、NILM 推理服务层和应用展示层。三层之间通过结构化采集记录、推理服务接口和应用视图接口连接，使数据采集、模型推理和页面展示可以分别演进。已有非侵入式用电器在线监测系统也通常围绕采集、识别处理和软件展示组织系统结构</w:t>
      </w:r>
      <w:r>
        <w:rPr>
          <w:vertAlign w:val="superscript"/>
        </w:rPr>
        <w:t>[12]</w:t>
      </w:r>
      <w:r>
        <w:t>。总体架构如图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0"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r>
        <w:rPr>
          <w:rFonts w:ascii="Times New Roman" w:hAnsi="Times New Roman" w:eastAsia="宋体"/>
          <w:color w:val="000000"/>
          <w:sz w:val="24"/>
        </w:rPr>
        <w:t>图 3-1 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pPr>
        <w:spacing w:line="300" w:lineRule="auto" w:before="0" w:after="0"/>
        <w:ind w:firstLine="480"/>
      </w:pPr>
      <w:r>
        <w:rPr>
          <w:rFonts w:ascii="Times New Roman" w:hAnsi="Times New Roman" w:eastAsia="宋体"/>
          <w:color w:val="000000"/>
          <w:sz w:val="24"/>
        </w:rPr>
      </w:r>
      <w:r>
        <w:t>数据采集层负责真实终端或模拟终端的数据接入。该层的核心能力包括 TCP 监听、多连接管理、固定协议报文解析、设备在线状态维护和数据持久化。TCP 提供面向连接的可靠传输机制，适合连续数据接入场景</w:t>
      </w:r>
      <w:r>
        <w:rPr>
          <w:vertAlign w:val="superscript"/>
        </w:rPr>
        <w:t>[14]</w:t>
      </w:r>
      <w:r>
        <w:t>。该层输出标准化的时序记录和采集状态信息，不承担模型训练和应用页面逻辑。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r>
      <w: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ONNX 为模型文件互操作提供统一表示基础</w:t>
      </w:r>
      <w:r>
        <w:rPr>
          <w:vertAlign w:val="superscript"/>
        </w:rPr>
        <w:t>[16]</w:t>
      </w:r>
      <w:r>
        <w:t>，ONNX Runtime 可作为推理运行时支撑模型调用</w:t>
      </w:r>
      <w:r>
        <w:rPr>
          <w:vertAlign w:val="superscript"/>
        </w:rPr>
        <w:t>[17]</w:t>
      </w:r>
      <w:r>
        <w:t>。该层输出设备级预测功率、开关事件、模型版本和会话状态。</w:t>
      </w:r>
    </w:p>
    <w:p>
      <w:pPr>
        <w:spacing w:line="300" w:lineRule="auto" w:before="0" w:after="0"/>
        <w:ind w:firstLine="480"/>
      </w:pPr>
      <w:r>
        <w:rPr>
          <w:rFonts w:ascii="Times New Roman" w:hAnsi="Times New Roman" w:eastAsia="宋体"/>
          <w:color w:val="000000"/>
          <w:sz w:val="24"/>
        </w:rPr>
      </w:r>
      <w:r>
        <w:t>应用展示层负责把推理结果组织为用户可理解的页面。该层不复用工程验证控制台作为最终产品页面，而是通过后端视图适配接口将推理结果转换为首页总览、设备详情和系统状态所需的视图数据。FastAPI 可用于组织 Python HTTP API 服务</w:t>
      </w:r>
      <w:r>
        <w:rPr>
          <w:vertAlign w:val="superscript"/>
        </w:rPr>
        <w:t>[18]</w:t>
      </w:r>
      <w:r>
        <w:t>，HTTP 语义为接口方法和响应含义提供基础约束</w:t>
      </w:r>
      <w:r>
        <w:rPr>
          <w:vertAlign w:val="superscript"/>
        </w:rPr>
        <w:t>[19]</w:t>
      </w:r>
      <w:r>
        <w:t>。前端只渲染后端返回的数据状态、设备状态、功率值和事件列表，不从原始采样点自行推断设备状态。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0"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r>
        <w:rPr>
          <w:rFonts w:ascii="Times New Roman" w:hAnsi="Times New Roman" w:eastAsia="宋体"/>
          <w:color w:val="000000"/>
          <w:sz w:val="24"/>
        </w:rPr>
        <w:t>图 3-2 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pPr>
        <w:spacing w:line="300" w:lineRule="auto" w:before="0" w:after="0"/>
        <w:ind w:firstLine="480"/>
      </w:pPr>
      <w:r>
        <w:rPr>
          <w:rFonts w:ascii="Times New Roman" w:hAnsi="Times New Roman" w:eastAsia="宋体"/>
          <w:color w:val="000000"/>
          <w:sz w:val="24"/>
        </w:rPr>
      </w:r>
      <w:r>
        <w:t>（1）采集存储流程。终端或模拟终端向采集服务发送报文，采集服务接收 TCP 字节流后按协议解析设备标识、时间信息和电气量字段</w:t>
      </w:r>
      <w:r>
        <w:rPr>
          <w:vertAlign w:val="superscript"/>
        </w:rPr>
        <w:t>[14]</w:t>
      </w:r>
      <w:r>
        <w:t>。解析成功的数据写入 JSONL 结构化记录，解析失败的数据记录异常类型和原始信息</w:t>
      </w:r>
      <w:r>
        <w:rPr>
          <w:vertAlign w:val="superscript"/>
        </w:rPr>
        <w:t>[15]</w:t>
      </w:r>
      <w:r>
        <w:t>。该流程为后续推理和测试提供可追溯输入。</w:t>
      </w:r>
    </w:p>
    <w:p>
      <w:pPr>
        <w:spacing w:line="300" w:lineRule="auto" w:before="0" w:after="0"/>
        <w:ind w:firstLine="480"/>
      </w:pPr>
      <w:r>
        <w:rPr>
          <w:rFonts w:ascii="Times New Roman" w:hAnsi="Times New Roman" w:eastAsia="宋体"/>
          <w:color w:val="000000"/>
          <w:sz w:val="24"/>
        </w:rPr>
      </w:r>
      <w: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NILMTK 等工具链也将数据集处理、负荷分解和指标评价作为 NILM 实验复现的重要组成部分</w:t>
      </w:r>
      <w:r>
        <w:rPr>
          <w:vertAlign w:val="superscript"/>
        </w:rPr>
        <w:t>[11]</w:t>
      </w:r>
      <w:r>
        <w:t>。</w:t>
      </w:r>
    </w:p>
    <w:p>
      <w:pPr>
        <w:spacing w:line="300" w:lineRule="auto" w:before="0" w:after="0"/>
        <w:ind w:firstLine="480"/>
      </w:pPr>
      <w:r>
        <w:rPr>
          <w:rFonts w:ascii="Times New Roman" w:hAnsi="Times New Roman" w:eastAsia="宋体"/>
          <w:color w:val="000000"/>
          <w:sz w:val="24"/>
        </w:rPr>
      </w:r>
      <w: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该流程用于缩小离线实验与在线运行之间的验证差距，这也是 NILM 真实部署研究中反复强调的工程问题</w:t>
      </w:r>
      <w:r>
        <w:rPr>
          <w:vertAlign w:val="superscript"/>
        </w:rPr>
        <w:t>[4]</w:t>
      </w:r>
      <w:r>
        <w:t>。</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r>
        <w:br/>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4章重点说明数据采集、协议解析和数据存储；第5章重点说明模型包管理、推理服务和在线回放；第6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r>
      <w:r>
        <w:t>系统的关键接口包括采集记录结构、模型包契约、推理服务接口和应用视图接口。接口设计目标是让数据采集、模型推理和应用展示可以分别演进，同时保持可验证的连接关系。对于 HTTP API，接口路径、请求方法、参数和响应结构可以通过规范化接口描述降低调用方理解成本</w:t>
      </w:r>
      <w:r>
        <w:rPr>
          <w:vertAlign w:val="superscript"/>
        </w:rPr>
        <w:t>[20]</w:t>
      </w:r>
      <w:r>
        <w:t>。</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
        <w:rPr>
          <w:rFonts w:ascii="Times New Roman" w:hAnsi="Times New Roman" w:eastAsia="宋体"/>
          <w:color w:val="000000"/>
          <w:sz w:val="24"/>
        </w:rPr>
      </w:r>
      <w: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等用于离线评估。JSON Lines 适合保存逐行独立的结构化 JSON 记录，因此可用于采集链路中的轻量级时序留痕</w:t>
      </w:r>
      <w:r>
        <w:rPr>
          <w:vertAlign w:val="superscript"/>
        </w:rPr>
        <w:t>[15]</w:t>
      </w:r>
      <w:r>
        <w:t>。</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source_id/device_id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r>
      <w:r/>
      <w:r>
        <w:rPr>
          <w:vertAlign w:val="superscript"/>
        </w:rPr>
      </w:r>
      <w:r/>
      <w:r>
        <w:rPr>
          <w:vertAlign w:val="superscript"/>
        </w:rPr>
      </w:r>
      <w:r/>
      <w:r>
        <w:t>模型包是推理服务层加载模型能力的基本单位。作为基础设计约定，一个模型包主要包含模型文件、模型元数据、归一化参数、后处理配置、接口说明和包清单等内容。服务加载模型包时，需要检查接口版本、采样周期、输入输出张量和目标设备顺序。ONNX 模型文件可以作为模型包中的推理文件格式</w:t>
      </w:r>
      <w:r>
        <w:rPr>
          <w:vertAlign w:val="superscript"/>
        </w:rPr>
        <w:t>[16]</w:t>
      </w:r>
      <w:r>
        <w:t>，推理服务则可通过运行时加载模型并执行推理</w:t>
      </w:r>
      <w:r>
        <w:rPr>
          <w:vertAlign w:val="superscript"/>
        </w:rPr>
        <w:t>[17]</w:t>
      </w:r>
      <w:r>
        <w:t>。该设计用于降低模型替换对服务代码和应用展示层的影响，后续实现章节将结合实际模型包文件结构进行说明。</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r>
            <w:r>
              <w:t>接口版本、输入输出张量名称和形状，作为设计约定可随实现调整</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r>
            <w:r>
              <w:t>包清单、生成时间、校验信息，作为设计约定可随实现调整</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r>
      <w:r>
        <w:t>推理服务接口分为健康检查、会话管理、数据写入、结果查询和离线推理几类。在线会话接口通过启动会话、写入采样点和查询最新状态完成滚动推理；离线推理接口通过区间参数返回预测序列、事件和指标。HTTP 方法语义为 GET、POST 等接口操作提供了通用约束</w:t>
      </w:r>
      <w:r>
        <w:rPr>
          <w:vertAlign w:val="superscript"/>
        </w:rPr>
        <w:t>[19]</w:t>
      </w:r>
      <w:r>
        <w:t>，OpenAPI 规范则可用于表达接口路径、操作、请求体和响应结构</w:t>
      </w:r>
      <w:r>
        <w:rPr>
          <w:vertAlign w:val="superscript"/>
        </w:rPr>
        <w:t>[20]</w:t>
      </w:r>
      <w:r>
        <w:t>。</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r>
      <w:r>
        <w:t>应用视图接口用于连接推理服务层和应用展示层。后端视图适配接口内部可以调用推理服务接口，但前端只依赖应用级接口和视图数据结构。基础实现范围内，前端依赖首页总览、设备详情和系统状态三类接口。该设计与服务化接口的基本思想一致，即调用方通过稳定接口理解服务能力，而不直接依赖服务内部实现</w:t>
      </w:r>
      <w:r>
        <w:rPr>
          <w:vertAlign w:val="superscript"/>
        </w:rPr>
        <w:t>[19]</w:t>
      </w:r>
      <w:r>
        <w:t>。</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r>
      <w: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NILM 综述研究通常也将低侵入、少传感器部署视为该类方法相对于侵入式监测的重要优势</w:t>
      </w:r>
      <w:r>
        <w:rPr>
          <w:vertAlign w:val="superscript"/>
        </w:rPr>
        <w:t>[2]</w:t>
      </w:r>
      <w:r>
        <w:t>。</w:t>
      </w:r>
    </w:p>
    <w:p>
      <w:r>
        <w:rPr>
          <w:rFonts w:ascii="Times New Roman" w:hAnsi="Times New Roman" w:eastAsia="宋体"/>
          <w:color w:val="000000"/>
          <w:sz w:val="24"/>
        </w:rPr>
        <w:t>由于本文系统处于本科毕业设计实现阶段，未进行实际商业部署成本核算，以下分析主要从部署复杂度、维护工作量、扩展方式和实验演示可复现性角度进行比较。</w:t>
      </w:r>
    </w:p>
    <w:p>
      <w:pPr>
        <w:spacing w:line="300" w:lineRule="auto" w:before="0" w:after="0"/>
        <w:ind w:firstLine="480"/>
      </w:pPr>
      <w:r>
        <w:rPr>
          <w:rFonts w:ascii="Times New Roman" w:hAnsi="Times New Roman" w:eastAsia="宋体"/>
          <w:color w:val="000000"/>
          <w:sz w:val="24"/>
        </w:rPr>
      </w:r>
      <w:r/>
      <w:r>
        <w:rPr>
          <w:vertAlign w:val="superscript"/>
        </w:rPr>
      </w:r>
      <w:r/>
      <w:r>
        <w:rPr>
          <w:vertAlign w:val="superscript"/>
        </w:rPr>
      </w:r>
      <w:r/>
      <w:r>
        <w:t>NILM 方案的核心优势在于低侵入式部署。系统只需围绕总进线或总表侧采集总负荷数据，再通过模型推理获得设备级用电估计结果</w:t>
      </w:r>
      <w:r>
        <w:rPr>
          <w:vertAlign w:val="superscript"/>
        </w:rPr>
        <w:t>[1]</w:t>
      </w:r>
      <w:r>
        <w:t>。与侵入式方案相比，该方案理论上减少设备接入数量和安装复杂度</w:t>
      </w:r>
      <w:r>
        <w:rPr>
          <w:vertAlign w:val="superscript"/>
        </w:rPr>
        <w:t>[2]</w:t>
      </w:r>
      <w:r>
        <w:t>；同时，模型和推理服务可以通过软件升级方式持续改进，后续新增设备类别或更换模型时不必同步改造全部采集链路。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r>
      <w:r>
        <w:t>从本文系统实现角度看，系统采用分层设计和模型包契约，在维护工作量方面具有一定定性优势。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r>
      <w:r>
        <w:t>上述比较为毕业设计阶段的定性可行性分析，不作为实际商业部署成本结论。表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r>
      <w:r/>
      <w:r>
        <w:rPr>
          <w:vertAlign w:val="superscript"/>
        </w:rPr>
      </w:r>
      <w:r/>
      <w:r>
        <w:t>综上，本文采用 NILM 在线监测与推理系统方案，从定性分析角度看，在硬件部署复杂度、系统扩展性和演示可复现性方面具有一定优势。该方案的局限在于设备级结果依赖模型质量和输入数据质量，因此后续章节仍需通过模型指标、回放结果和端到端展示对系统有效性进行验证。相关研究也指出，真实场景中的多设备叠加、噪声、缺失和部署差异会影响 NILM 效果，需要结合系统运行证据进行评价</w:t>
      </w:r>
      <w:r>
        <w:rPr>
          <w:vertAlign w:val="superscript"/>
        </w:rPr>
        <w:t>[3]</w:t>
      </w:r>
      <w:r>
        <w:t>。</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r>
      <w:r>
        <w:t>通过本章设计，系统的层次结构、数据流、模块职责、关键接口和技术经济可行性已经明确。后续第4章将展开数据采集与预处理模块的具体实现，第5章将展开 NILM 推理服务模块的实现，第6章将说明应用展示层的基础功能和页面实现，第7章将通过测试与结果分析验证系统链路是否达到设计目标。</w:t>
      </w:r>
    </w:p>
    <w:p>
      <w:r>
        <w:br w:type="page"/>
      </w:r>
    </w:p>
    <w:p>
      <w:pPr>
        <w:pStyle w:val="Heading1"/>
        <w:spacing w:after="240"/>
        <w:jc w:val="center"/>
      </w:pPr>
      <w:r>
        <w:rPr>
          <w:rFonts w:ascii="Times New Roman" w:hAnsi="Times New Roman" w:eastAsia="黑体"/>
          <w:color w:val="000000"/>
          <w:sz w:val="36"/>
        </w:rPr>
        <w:t>参 考 文 献</w:t>
      </w:r>
    </w:p>
    <w:p>
      <w:pPr>
        <w:spacing w:line="300" w:lineRule="auto" w:before="0" w:after="0"/>
      </w:pPr>
      <w:r>
        <w:rPr>
          <w:rFonts w:ascii="Times New Roman" w:hAnsi="Times New Roman" w:eastAsia="宋体"/>
          <w:color w:val="000000"/>
          <w:sz w:val="21"/>
        </w:rPr>
        <w:t>[1] Hart G W. Nonintrusive appliance load monitoring[J]. Proceedings of the IEEE, 1992, 80(12): 1870-1891.</w:t>
      </w:r>
    </w:p>
    <w:p>
      <w:pPr>
        <w:spacing w:line="300" w:lineRule="auto" w:before="0" w:after="0"/>
      </w:pPr>
      <w:r>
        <w:rPr>
          <w:rFonts w:ascii="Times New Roman" w:hAnsi="Times New Roman" w:eastAsia="宋体"/>
          <w:color w:val="000000"/>
          <w:sz w:val="21"/>
        </w:rPr>
        <w:t>[2] Zeifman M, Roth K. Nonintrusive appliance load monitoring: Review and outlook[J]. IEEE Transactions on Consumer Electronics, 2011, 57(1): 76-84.</w:t>
      </w:r>
    </w:p>
    <w:p>
      <w:pPr>
        <w:spacing w:line="300" w:lineRule="auto" w:before="0" w:after="0"/>
      </w:pPr>
      <w:r>
        <w:rPr>
          <w:rFonts w:ascii="Times New Roman" w:hAnsi="Times New Roman" w:eastAsia="宋体"/>
          <w:color w:val="000000"/>
          <w:sz w:val="21"/>
        </w:rPr>
        <w:t>[3] Zoha A, Gluhak A, Imran M A, et al. Non-intrusive load monitoring approaches for disaggregated energy sensing: A survey[J]. Sensors, 2012, 12(12): 16838-16866.</w:t>
      </w:r>
    </w:p>
    <w:p>
      <w:pPr>
        <w:spacing w:line="300" w:lineRule="auto" w:before="0" w:after="0"/>
      </w:pPr>
      <w:r>
        <w:rPr>
          <w:rFonts w:ascii="Times New Roman" w:hAnsi="Times New Roman" w:eastAsia="宋体"/>
          <w:color w:val="000000"/>
          <w:sz w:val="21"/>
        </w:rPr>
        <w:t>[4] Xue J, Zhang Y, Wang X, et al. Towards real-world deployment of NILM systems: Challenges and practices[EB/OL]. arXiv:2409.14821, 2024.</w:t>
      </w:r>
    </w:p>
    <w:p>
      <w:pPr>
        <w:spacing w:line="300" w:lineRule="auto" w:before="0" w:after="0"/>
      </w:pPr>
      <w:r>
        <w:rPr>
          <w:rFonts w:ascii="Times New Roman" w:hAnsi="Times New Roman" w:eastAsia="宋体"/>
          <w:color w:val="000000"/>
          <w:sz w:val="21"/>
        </w:rPr>
        <w:t>[5] Liang J, Ng S K K, Kendall G, et al. Load signature study-Part I: Basic concept, structure, and methodology[J]. IEEE Transactions on Power Delivery, 2010, 25(2): 551-560.</w:t>
      </w:r>
    </w:p>
    <w:p>
      <w:pPr>
        <w:spacing w:line="300" w:lineRule="auto" w:before="0" w:after="0"/>
      </w:pPr>
      <w:r>
        <w:rPr>
          <w:rFonts w:ascii="Times New Roman" w:hAnsi="Times New Roman" w:eastAsia="宋体"/>
          <w:color w:val="000000"/>
          <w:sz w:val="21"/>
        </w:rPr>
        <w:t>[6] Anderson K D, Berges M E, Ocneanu A, et al. Event detection for non intrusive load monitoring[C]//IECON 2012. IEEE, 2012: 3312-3317.</w:t>
      </w:r>
    </w:p>
    <w:p>
      <w:pPr>
        <w:spacing w:line="300" w:lineRule="auto" w:before="0" w:after="0"/>
      </w:pPr>
      <w:r>
        <w:rPr>
          <w:rFonts w:ascii="Times New Roman" w:hAnsi="Times New Roman" w:eastAsia="宋体"/>
          <w:color w:val="000000"/>
          <w:sz w:val="21"/>
        </w:rPr>
        <w:t>[7] Kolter J Z, Jaakkola T. Approximate inference in additive factorial HMMs with application to energy disaggregation[C]//AISTATS. PMLR, 2012: 1472-1482.</w:t>
      </w:r>
    </w:p>
    <w:p>
      <w:pPr>
        <w:spacing w:line="300" w:lineRule="auto" w:before="0" w:after="0"/>
      </w:pPr>
      <w:r>
        <w:rPr>
          <w:rFonts w:ascii="Times New Roman" w:hAnsi="Times New Roman" w:eastAsia="宋体"/>
          <w:color w:val="000000"/>
          <w:sz w:val="21"/>
        </w:rPr>
        <w:t>[8] Kelly J, Knottenbelt W. Neural NILM: Deep neural networks applied to energy disaggregation[C]//BuildSys. 2015.</w:t>
      </w:r>
    </w:p>
    <w:p>
      <w:pPr>
        <w:spacing w:line="300" w:lineRule="auto" w:before="0" w:after="0"/>
      </w:pPr>
      <w:r>
        <w:rPr>
          <w:rFonts w:ascii="Times New Roman" w:hAnsi="Times New Roman" w:eastAsia="宋体"/>
          <w:color w:val="000000"/>
          <w:sz w:val="21"/>
        </w:rPr>
        <w:t>[9] Zhang C, Zhong M, Wang Z, et al. Sequence-to-point learning with neural networks for non-intrusive load monitoring[C]//Proceedings of the AAAI Conference on Artificial Intelligence. 2018, 32(1): 2604-2611.</w:t>
      </w:r>
    </w:p>
    <w:p>
      <w:pPr>
        <w:spacing w:line="300" w:lineRule="auto" w:before="0" w:after="0"/>
      </w:pPr>
      <w:r>
        <w:rPr>
          <w:rFonts w:ascii="Times New Roman" w:hAnsi="Times New Roman" w:eastAsia="宋体"/>
          <w:color w:val="000000"/>
          <w:sz w:val="21"/>
        </w:rPr>
        <w:t>[10] Kelly J, Knottenbelt W. The UK-DALE dataset, domestic appliance-level electricity demand and whole-house demand from five UK homes[J]. Scientific Data, 2015, 2: 150007.</w:t>
      </w:r>
    </w:p>
    <w:p>
      <w:pPr>
        <w:spacing w:line="300" w:lineRule="auto" w:before="0" w:after="0"/>
      </w:pPr>
      <w:r>
        <w:rPr>
          <w:rFonts w:ascii="Times New Roman" w:hAnsi="Times New Roman" w:eastAsia="宋体"/>
          <w:color w:val="000000"/>
          <w:sz w:val="21"/>
        </w:rPr>
        <w:t>[11] Batra N, Kelly J, Parson O, et al. NILMTK: An open source toolkit for non-intrusive load monitoring[C]//ACM e-Energy. 2014: 265-276.</w:t>
      </w:r>
    </w:p>
    <w:p>
      <w:pPr>
        <w:spacing w:line="300" w:lineRule="auto" w:before="0" w:after="0"/>
      </w:pPr>
      <w:r>
        <w:rPr>
          <w:rFonts w:ascii="Times New Roman" w:hAnsi="Times New Roman" w:eastAsia="宋体"/>
          <w:color w:val="000000"/>
          <w:sz w:val="21"/>
        </w:rPr>
        <w:t>[12] 何勇, 王晓丽, 肖海飞, 等. 基于物联网的非侵入式用电器在线监测系统设计与实现[J]. 智能计算机与应用, 2021, 11(12): 158-165.</w:t>
      </w:r>
    </w:p>
    <w:p>
      <w:pPr>
        <w:spacing w:line="300" w:lineRule="auto" w:before="0" w:after="0"/>
      </w:pPr>
      <w:r>
        <w:rPr>
          <w:rFonts w:ascii="Times New Roman" w:hAnsi="Times New Roman" w:eastAsia="宋体"/>
          <w:color w:val="000000"/>
          <w:sz w:val="21"/>
        </w:rPr>
        <w:t>[13] 凌家源, 彭勇刚. 基于事件检测与 CNN 模型的非侵入式负荷识别方法及实现[J]. 电工电能新技术, 2021, 40(3): 46-54.</w:t>
      </w:r>
    </w:p>
    <w:p>
      <w:pPr>
        <w:spacing w:before="0" w:after="0" w:line="300" w:lineRule="auto"/>
      </w:pPr>
      <w:r>
        <w:t>[14] Eddy W. Transmission Control Protocol (TCP): RFC 9293[S/OL]. IETF, 2022. [2026-05-10]. https://www.rfc-editor.org/rfc/rfc9293.</w:t>
      </w:r>
    </w:p>
    <w:p>
      <w:pPr>
        <w:spacing w:before="0" w:after="0" w:line="300" w:lineRule="auto"/>
      </w:pPr>
      <w:r/>
      <w:r>
        <w:t>[15] JSON Lines. JSON Lines text file format[EB/OL]. [2026-05-10]. https://jsonlines.org/.</w:t>
      </w:r>
    </w:p>
    <w:p>
      <w:pPr>
        <w:spacing w:before="0" w:after="0" w:line="300" w:lineRule="auto"/>
      </w:pPr>
      <w:r/>
      <w:r>
        <w:t>[16] ONNX. Open Neural Network Exchange[EB/OL]. [2026-05-10]. https://onnx.ai/.</w:t>
      </w:r>
    </w:p>
    <w:p>
      <w:pPr>
        <w:spacing w:before="0" w:after="0" w:line="300" w:lineRule="auto"/>
      </w:pPr>
      <w:r/>
      <w:r>
        <w:t>[17] ONNX Runtime. ONNX Runtime documentation[EB/OL]. [2026-05-10]. https://onnxruntime.ai/docs.</w:t>
      </w:r>
    </w:p>
    <w:p>
      <w:pPr>
        <w:spacing w:before="0" w:after="0" w:line="300" w:lineRule="auto"/>
      </w:pPr>
      <w:r/>
      <w:r>
        <w:t>[18] FastAPI. FastAPI documentation[EB/OL]. [2026-05-10]. https://fastapi.tiangolo.com/.</w:t>
      </w:r>
    </w:p>
    <w:p>
      <w:pPr>
        <w:spacing w:before="0" w:after="0" w:line="300" w:lineRule="auto"/>
      </w:pPr>
      <w:r>
        <w:t>[19] Fielding R, Nottingham M, Reschke J. HTTP Semantics: RFC 9110[S/OL]. IETF, 2022. [2026-05-10]. https://www.rfc-editor.org/rfc/rfc9110.</w:t>
      </w:r>
    </w:p>
    <w:p>
      <w:pPr>
        <w:spacing w:before="0" w:after="0" w:line="300" w:lineRule="auto"/>
      </w:pPr>
      <w:r>
        <w:t>[20] OpenAPI Initiative. OpenAPI Specification v3.2.0[EB/OL]. 2025. [2026-05-10]. https://spec.openapis.org/oas/latest.html.</w:t>
      </w:r>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