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正文稿 V1（含第 4 章）</w:t>
      </w:r>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 1 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 2 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 3 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pacing w:before="0" w:after="240"/>
        <w:jc w:val="center"/>
      </w:pPr>
      <w:r>
        <w:rPr>
          <w:rFonts w:ascii="Times New Roman" w:hAnsi="Times New Roman" w:eastAsia="宋体"/>
          <w:sz w:val="24"/>
        </w:rPr>
        <w:t>第 4 章 数据采集与预处理模块设计实现..............19</w:t>
      </w:r>
    </w:p>
    <w:p>
      <w:pPr>
        <w:spacing w:line="300" w:lineRule="auto" w:before="0" w:after="0"/>
        <w:ind w:firstLine="480"/>
        <w:jc w:val="left"/>
      </w:pPr>
      <w:r>
        <w:rPr>
          <w:rFonts w:ascii="Times New Roman" w:hAnsi="Times New Roman" w:eastAsia="宋体"/>
          <w:sz w:val="24"/>
        </w:rPr>
        <w:t>4.1 本章目标与模块边界......................19</w:t>
      </w:r>
    </w:p>
    <w:p>
      <w:pPr>
        <w:spacing w:line="300" w:lineRule="auto" w:before="0" w:after="0"/>
        <w:ind w:firstLine="480"/>
        <w:jc w:val="left"/>
      </w:pPr>
      <w:r>
        <w:rPr>
          <w:rFonts w:ascii="Times New Roman" w:hAnsi="Times New Roman" w:eastAsia="宋体"/>
          <w:sz w:val="24"/>
        </w:rPr>
        <w:t>4.2 数据采集与预处理总体流程...................19</w:t>
      </w:r>
    </w:p>
    <w:p>
      <w:pPr>
        <w:spacing w:line="300" w:lineRule="auto" w:before="0" w:after="0"/>
        <w:ind w:firstLine="480"/>
        <w:jc w:val="left"/>
      </w:pPr>
      <w:r>
        <w:rPr>
          <w:rFonts w:ascii="Times New Roman" w:hAnsi="Times New Roman" w:eastAsia="宋体"/>
          <w:sz w:val="24"/>
        </w:rPr>
        <w:t>4.3 TCP 数据采集服务设计与实现..................21</w:t>
      </w:r>
    </w:p>
    <w:p>
      <w:pPr>
        <w:spacing w:line="300" w:lineRule="auto" w:before="0" w:after="0"/>
        <w:ind w:firstLine="480"/>
        <w:jc w:val="left"/>
      </w:pPr>
      <w:r>
        <w:rPr>
          <w:rFonts w:ascii="Times New Roman" w:hAnsi="Times New Roman" w:eastAsia="宋体"/>
          <w:sz w:val="24"/>
        </w:rPr>
        <w:t>4.4 量测报文协议解析.......................22</w:t>
      </w:r>
    </w:p>
    <w:p>
      <w:pPr>
        <w:spacing w:line="300" w:lineRule="auto" w:before="0" w:after="0"/>
        <w:ind w:firstLine="480"/>
        <w:jc w:val="left"/>
      </w:pPr>
      <w:r>
        <w:rPr>
          <w:rFonts w:ascii="Times New Roman" w:hAnsi="Times New Roman" w:eastAsia="宋体"/>
          <w:sz w:val="24"/>
        </w:rPr>
        <w:t>4.5 设备状态聚合与边界情况处理设计.................23</w:t>
      </w:r>
    </w:p>
    <w:p>
      <w:pPr>
        <w:spacing w:line="300" w:lineRule="auto" w:before="0" w:after="0"/>
        <w:ind w:firstLine="480"/>
        <w:jc w:val="left"/>
      </w:pPr>
      <w:r>
        <w:rPr>
          <w:rFonts w:ascii="Times New Roman" w:hAnsi="Times New Roman" w:eastAsia="宋体"/>
          <w:sz w:val="24"/>
        </w:rPr>
        <w:t>4.6 数据落盘与 JSONL 记录结构..................25</w:t>
      </w:r>
    </w:p>
    <w:p>
      <w:pPr>
        <w:spacing w:line="300" w:lineRule="auto" w:before="0" w:after="0"/>
        <w:ind w:firstLine="480"/>
        <w:jc w:val="left"/>
      </w:pPr>
      <w:r>
        <w:rPr>
          <w:rFonts w:ascii="Times New Roman" w:hAnsi="Times New Roman" w:eastAsia="宋体"/>
          <w:sz w:val="24"/>
        </w:rPr>
        <w:t>4.7 模拟终端与接收端运行表现...................27</w:t>
      </w:r>
    </w:p>
    <w:p>
      <w:pPr>
        <w:spacing w:line="300" w:lineRule="auto" w:before="0" w:after="0"/>
        <w:ind w:firstLine="480"/>
        <w:jc w:val="left"/>
      </w:pPr>
      <w:r>
        <w:rPr>
          <w:rFonts w:ascii="Times New Roman" w:hAnsi="Times New Roman" w:eastAsia="宋体"/>
          <w:sz w:val="24"/>
        </w:rPr>
        <w:t>4.8 本章小结...........................29</w:t>
      </w:r>
    </w:p>
    <w:p>
      <w:pPr>
        <w:spacing w:line="264" w:lineRule="auto"/>
      </w:pPr>
      <w:r>
        <w:rPr>
          <w:rFonts w:ascii="Times New Roman" w:hAnsi="Times New Roman" w:eastAsia="宋体"/>
          <w:sz w:val="24"/>
        </w:rPr>
        <w:t>参 考 文 献...........................30</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 1 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研究已经在事件检测、负荷分解、深度学习模型和公开数据集评估等方面形成了较多成果。事件检测研究为从总负荷信号中定位设备启停和负荷变化提供了基础</w:t>
      </w:r>
      <w:r>
        <w:rPr>
          <w:rFonts w:ascii="Times New Roman" w:hAnsi="Times New Roman" w:eastAsia="宋体"/>
          <w:color w:val="000000"/>
          <w:sz w:val="24"/>
          <w:vertAlign w:val="superscript"/>
        </w:rPr>
        <w:t>[6]</w:t>
      </w:r>
      <w:r>
        <w:rPr>
          <w:rFonts w:ascii="Times New Roman" w:hAnsi="Times New Roman" w:eastAsia="宋体"/>
          <w:color w:val="000000"/>
          <w:sz w:val="24"/>
        </w:rPr>
        <w:t>。负荷特征研究从稳态功率、谐波、电压电流轨迹等角度总结了设备可区分特征的构成方式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。深度学习研究进一步推动了 NILM 从人工特征和显式状态建模向数据驱动建模发展</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。序列到点学习则是深度学习 NILM 中具有代表性的建模方式之一</w:t>
      </w:r>
      <w:r>
        <w:rPr>
          <w:rFonts w:ascii="Times New Roman" w:hAnsi="Times New Roman" w:eastAsia="宋体"/>
          <w:color w:val="000000"/>
          <w:sz w:val="24"/>
          <w:vertAlign w:val="superscript"/>
        </w:rPr>
        <w:t>[9]</w:t>
      </w:r>
      <w:r>
        <w:rPr>
          <w:rFonts w:ascii="Times New Roman" w:hAnsi="Times New Roman" w:eastAsia="宋体"/>
          <w:color w:val="000000"/>
          <w:sz w:val="24"/>
        </w:rPr>
        <w:t>。公开数据集为不同算法之间的复现实验提供了基础数据条件</w:t>
      </w:r>
      <w:r>
        <w:rPr>
          <w:rFonts w:ascii="Times New Roman" w:hAnsi="Times New Roman" w:eastAsia="宋体"/>
          <w:color w:val="000000"/>
          <w:sz w:val="24"/>
          <w:vertAlign w:val="superscript"/>
        </w:rPr>
        <w:t>[10]</w:t>
      </w:r>
      <w:r>
        <w:rPr>
          <w:rFonts w:ascii="Times New Roman" w:hAnsi="Times New Roman" w:eastAsia="宋体"/>
          <w:color w:val="000000"/>
          <w:sz w:val="24"/>
        </w:rPr>
        <w:t>，开源工具链则为数据集解析、算法比较和评价指标计算提供了统一实现基础</w:t>
      </w:r>
      <w:r>
        <w:rPr>
          <w:rFonts w:ascii="Times New Roman" w:hAnsi="Times New Roman" w:eastAsia="宋体"/>
          <w:color w:val="000000"/>
          <w:sz w:val="24"/>
          <w:vertAlign w:val="superscript"/>
        </w:rPr>
        <w:t>[11]</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[4]</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r>
      <w:r>
        <w:t>因此，本文不将研究重点放在提出新的 NILM 算法上，而是面向家庭能耗场景，设计一个 NILM 在线监测与推理系统，并在后续章节说明其主要模块实现。系统围绕数据采集层、NILM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为后续实现从数据输入到结果展示的工程闭环提供设计基础。</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w:t>
      </w:r>
      <w:r>
        <w:rPr>
          <w:rFonts w:ascii="Times New Roman" w:hAnsi="Times New Roman" w:eastAsia="宋体"/>
          <w:color w:val="000000"/>
          <w:sz w:val="24"/>
        </w:rPr>
        <w:t>。负荷签名研究进一步从稳态功率、谐波、电压电流轨迹等角度总结了设备可区分特征的构成方式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[3]</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任务。隐马尔可夫模型及其扩展形式可以将负荷分解问题转化为设备状态序列的概率推断问题</w:t>
      </w:r>
      <w:r>
        <w:rPr>
          <w:rFonts w:ascii="Times New Roman" w:hAnsi="Times New Roman" w:eastAsia="宋体"/>
          <w:color w:val="000000"/>
          <w:sz w:val="24"/>
          <w:vertAlign w:val="superscript"/>
        </w:rPr>
        <w:t>[7]</w:t>
      </w:r>
      <w:r>
        <w:rPr>
          <w:rFonts w:ascii="Times New Roman" w:hAnsi="Times New Roman" w:eastAsia="宋体"/>
          <w:color w:val="000000"/>
          <w:sz w:val="24"/>
        </w:rPr>
        <w:t>。深度学习方法能够从历史负荷序列中学习设备运行模式，减少对手工特征的依赖</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。序列到点学习方法进一步将滑动窗口内的总功率序列映射到目标时刻的设备功率估计，在公开数据集上取得了较有代表性的结果</w:t>
      </w:r>
      <w:r>
        <w:rPr>
          <w:rFonts w:ascii="Times New Roman" w:hAnsi="Times New Roman" w:eastAsia="宋体"/>
          <w:color w:val="000000"/>
          <w:sz w:val="24"/>
          <w:vertAlign w:val="superscript"/>
        </w:rPr>
        <w:t>[9]</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[11]</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系统的工程化部署也逐渐受到关注。真实部署研究指出，NILM 从算法验证走向应用系统时，需要同时处理数据采集、模型训练、系统部署、计算资源和服务延迟等问题</w:t>
      </w:r>
      <w:r>
        <w:rPr>
          <w:rFonts w:ascii="Times New Roman" w:hAnsi="Times New Roman" w:eastAsia="宋体"/>
          <w:color w:val="000000"/>
          <w:sz w:val="24"/>
          <w:vertAlign w:val="superscript"/>
        </w:rPr>
        <w:t>[4]</w:t>
      </w:r>
      <w:r>
        <w:rPr>
          <w:rFonts w:ascii="Times New Roman" w:hAnsi="Times New Roman" w:eastAsia="宋体"/>
          <w:color w:val="000000"/>
          <w:sz w:val="24"/>
        </w:rPr>
        <w:t>。部分研究将负荷识别模型部署到嵌入式设备或边缘计算节点，关注实时性、算力约束和模型压缩</w:t>
      </w:r>
      <w:r>
        <w:rPr>
          <w:rFonts w:ascii="Times New Roman" w:hAnsi="Times New Roman" w:eastAsia="宋体"/>
          <w:color w:val="000000"/>
          <w:sz w:val="24"/>
          <w:vertAlign w:val="superscript"/>
        </w:rPr>
        <w:t>[13]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[12]</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[12]</w:t>
      </w:r>
      <w:r>
        <w:rPr>
          <w:rFonts w:ascii="Times New Roman" w:hAnsi="Times New Roman" w:eastAsia="宋体"/>
          <w:color w:val="000000"/>
          <w:sz w:val="24"/>
        </w:rPr>
        <w:t>。第三，离线实验结果和在线运行效果之间存在差异，系统需要通过回放、接口检查和端到端测试证明推理链路实际可用</w:t>
      </w:r>
      <w:r>
        <w:rPr>
          <w:rFonts w:ascii="Times New Roman" w:hAnsi="Times New Roman" w:eastAsia="宋体"/>
          <w:color w:val="000000"/>
          <w:sz w:val="24"/>
          <w:vertAlign w:val="superscript"/>
        </w:rPr>
        <w:t>[4]</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1"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r>
      <w:r>
        <w:t>（4）设计应用展示层的基础功能范围与端到端验证路径。应用展示层通过后端视图适配接口消费推理服务输出，提供首页总览、设备详情和系统状态等基础页面；后续将通过测试脚本、运行状态记录和页面展示结果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 1 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 2 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 3 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 4 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 5 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 6 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 7 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 2 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r>
      <w:r>
        <w:t>非侵入式负荷监测是一种通过总进线或总电表处电气量数据推断单个用电设备运行状态和能耗情况的技术</w:t>
      </w:r>
      <w:r>
        <w:rPr>
          <w:vertAlign w:val="superscript"/>
        </w:rPr>
        <w:t>[1]</w:t>
      </w:r>
      <w:r>
        <w:t>。其输入通常是按时间排列的总负荷数据，例如总有功功率序列、电压序列、电流序列或多个电气量组合特征；其输出可以是目标电器的功率估计值、设备开关状态、启停事件或能耗统计结果</w:t>
      </w:r>
      <w:r>
        <w:rPr>
          <w:vertAlign w:val="superscript"/>
        </w:rPr>
        <w:t>[3]</w:t>
      </w:r>
      <w:r>
        <w:t>。对于家庭能耗场景而言，NILM 的价值在于用较低部署成本获得设备级用电信息，为能耗分析和设备状态展示提供基础</w:t>
      </w:r>
      <w:r>
        <w:rPr>
          <w:vertAlign w:val="superscript"/>
        </w:rPr>
        <w:t>[2]</w:t>
      </w:r>
      <w:r>
        <w:t>。</w:t>
      </w:r>
    </w:p>
    <w:p>
      <w:pPr>
        <w:spacing w:line="300" w:lineRule="auto" w:before="0" w:after="0"/>
        <w:ind w:firstLine="480"/>
      </w:pPr>
      <w:r>
        <w:rPr>
          <w:rFonts w:ascii="Times New Roman" w:hAnsi="Times New Roman" w:eastAsia="宋体"/>
          <w:color w:val="000000"/>
          <w:sz w:val="24"/>
        </w:rPr>
      </w:r>
      <w:r>
        <w:t>NILM 任务一般包含负荷分解和事件检测两类目标。负荷分解关注在每个时间点估计目标设备功率，适合展示设备用电曲线和计算能耗占比</w:t>
      </w:r>
      <w:r>
        <w:rPr>
          <w:vertAlign w:val="superscript"/>
        </w:rPr>
        <w:t>[3]</w:t>
      </w:r>
      <w:r>
        <w:t>；事件检测关注设备启停变化，适合展示开关事件、运行片段和异常行为</w:t>
      </w:r>
      <w:r>
        <w:rPr>
          <w:vertAlign w:val="superscript"/>
        </w:rPr>
        <w:t>[6]</w:t>
      </w:r>
      <w:r>
        <w:t>。两类结果可以相互补充：功率序列能够提供连续变化趋势，事件结果能够提供更容易被用户理解的状态变化。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r>
      <w:r>
        <w:t>从方法角度看，NILM 可以使用基于事件检测、基于电气特征、基于概率模型和基于深度学习的方法。事件检测方法关注总功率突变，适合识别功率变化明显的设备</w:t>
      </w:r>
      <w:r>
        <w:rPr>
          <w:vertAlign w:val="superscript"/>
        </w:rPr>
        <w:t>[6]</w:t>
      </w:r>
      <w:r>
        <w:t>；电气特征方法利用功率因数、谐波、V-I 轨迹等特征提高区分能力</w:t>
      </w:r>
      <w:r>
        <w:rPr>
          <w:vertAlign w:val="superscript"/>
        </w:rPr>
        <w:t>[5]</w:t>
      </w:r>
      <w:r>
        <w:t>；概率模型方法将设备状态视为隐状态序列进行推断</w:t>
      </w:r>
      <w:r>
        <w:rPr>
          <w:vertAlign w:val="superscript"/>
        </w:rPr>
        <w:t>[7]</w:t>
      </w:r>
      <w:r>
        <w:t>；深度学习方法通过神经网络从历史负荷序列中学习设备运行模式</w:t>
      </w:r>
      <w:r>
        <w:rPr>
          <w:vertAlign w:val="superscript"/>
        </w:rPr>
        <w:t>[8]</w:t>
      </w:r>
      <w:r>
        <w:t>。本文不展开新的算法结构设计，而是在已有模型训练结果基础上，重点解决模型如何作为系统能力被加载、调用、验证和展示。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r>
      <w:r>
        <w:t>NILM 评价通常包括功率误差指标和事件指标。功率误差可使用 MAE、RMSE、MeanDiff、MaxAbsDiff 等指标衡量预测功率与真实功率之间的差异；事件识别可使用 Precision、Recall、F1 和事件时间偏差等指标衡量开关事件检测效果</w:t>
      </w:r>
      <w:r>
        <w:rPr>
          <w:vertAlign w:val="superscript"/>
        </w:rPr>
        <w:t>[11]</w:t>
      </w:r>
      <w:r>
        <w:t>。本文后续测试章节将结合离线区间推理和在线回放结果，说明系统推理链路和模型输出是否满足演示与分析需要。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r>
      <w: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w:t>
      </w:r>
      <w:r>
        <w:rPr>
          <w:vertAlign w:val="superscript"/>
        </w:rPr>
        <w:t>[14]</w:t>
      </w:r>
      <w:r>
        <w:t>；推理服务侧围绕 Python 推理环境、模型文件、模型元数据和 HTTP 接口组织模型调用</w:t>
      </w:r>
      <w:r>
        <w:rPr>
          <w:vertAlign w:val="superscript"/>
        </w:rPr>
        <w:t>[18]</w:t>
      </w:r>
      <w:r>
        <w:t>；应用展示侧采用前后端分离思路，由后端视图适配接口向页面提供首页总览、设备详情和系统状态所需数据。上述技术选择服务于系统可运行、可复现和可验证的目标。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r>
      <w:r>
        <w:t>第一，TCP 通信与协议解析。数据采集层需要接收终端或模拟终端发送的连续数据流。TCP 提供可靠的面向连接传输，适合终端持续上报用电数据</w:t>
      </w:r>
      <w:r>
        <w:rPr>
          <w:vertAlign w:val="superscript"/>
        </w:rPr>
        <w:t>[14]</w:t>
      </w:r>
      <w:r>
        <w:t>。采集服务需要监听端口、管理连接、处理断开和异常输入，并按照约定协议解析设备标识、时间信息、电压、电流和功率等字段。协议解析结果既用于实时显示，也用于后续落盘和推理数据构建。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r>
      <w:r>
        <w:t>第二，数据留痕与时序记录。采集数据需要保留原始报文和结构化解析结果。原始报文用于问题复核，结构化记录用于后续处理。本文系统采用 JSON Lines（JSONL）轻量级文件留痕方式保存采集结果，使每条记录包含时间、设备、原始数据、解析字段和状态信息</w:t>
      </w:r>
      <w:r>
        <w:rPr>
          <w:vertAlign w:val="superscript"/>
        </w:rPr>
        <w:t>[15]</w:t>
      </w:r>
      <w:r>
        <w:t>。该设计降低了调试成本，也为后续模型训练、推理测试和论文实验结果复现提供依据。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r>
      <w:r>
        <w:t>第三，时间序列窗口与模型输入。NILM 模型通常要求固定采样周期和固定窗口长度。推理服务需要将标准化功率序列构造成模型输入窗口，并在在线会话中维护滚动缓冲区。当缓冲区长度达到模型要求时，服务才触发推理。序列到点等 NILM 方法也体现了以时间窗口构造模型输入并输出目标时刻估计值的思路</w:t>
      </w:r>
      <w:r>
        <w:rPr>
          <w:vertAlign w:val="superscript"/>
        </w:rPr>
        <w:t>[9]</w:t>
      </w:r>
      <w:r>
        <w:t>。该机制使离线推理和在线推理能够使用一致的输入规则，减少训练、评估和服务运行之间的口径差异。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r>
      <w:r>
        <w:t>第四，模型包与推理服务。为了避免模型文件、归一化参数、后处理规则分散管理，本文将模型组织为模型包。模型包包含 ONNX 模型文件、模型元数据、归一化参数、后处理配置、接口说明和包清单</w:t>
      </w:r>
      <w:r>
        <w:rPr>
          <w:vertAlign w:val="superscript"/>
        </w:rPr>
        <w:t>[16]</w:t>
      </w:r>
      <w:r>
        <w:t>。推理服务加载模型包时检查接口版本、采样周期、输入输出形状和目标设备顺序，并通过推理运行时执行模型调用</w:t>
      </w:r>
      <w:r>
        <w:rPr>
          <w:vertAlign w:val="superscript"/>
        </w:rPr>
        <w:t>[17]</w:t>
      </w:r>
      <w:r>
        <w:t>；推理完成后输出设备功率、事件信息、模型版本和运行状态。</w:t>
      </w:r>
    </w:p>
    <w:p>
      <w:pPr>
        <w:spacing w:line="300" w:lineRule="auto" w:before="0" w:after="0"/>
        <w:ind w:firstLine="480"/>
      </w:pPr>
      <w:r>
        <w:rPr>
          <w:rFonts w:ascii="Times New Roman" w:hAnsi="Times New Roman" w:eastAsia="宋体"/>
          <w:color w:val="000000"/>
          <w:sz w:val="24"/>
        </w:rPr>
      </w:r>
      <w: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真实部署研究也强调 NILM 系统落地时需要关注模型效果之外的数据链路、运行环境和系统验证问题</w:t>
      </w:r>
      <w:r>
        <w:rPr>
          <w:vertAlign w:val="superscript"/>
        </w:rPr>
        <w:t>[4]</w:t>
      </w:r>
      <w:r>
        <w:t>。</w:t>
      </w:r>
    </w:p>
    <w:p>
      <w:pPr>
        <w:spacing w:line="300" w:lineRule="auto" w:before="0" w:after="0"/>
        <w:ind w:firstLine="480"/>
      </w:pPr>
      <w:r>
        <w:rPr>
          <w:rFonts w:ascii="Times New Roman" w:hAnsi="Times New Roman" w:eastAsia="宋体"/>
          <w:color w:val="000000"/>
          <w:sz w:val="24"/>
        </w:rPr>
      </w:r>
      <w:r>
        <w:t>第六，应用展示与后端视图适配接口。应用展示层不直接消费推理服务的原始响应，也不在前端推断设备状态或计算能耗。应用后端作为视图适配层通过 HTTP 接口调用推理服务，将下游结果整理为首页总览、设备详情和系统状态等页面所需的视图数据</w:t>
      </w:r>
      <w:r>
        <w:rPr>
          <w:vertAlign w:val="superscript"/>
        </w:rPr>
        <w:t>[19]</w:t>
      </w:r>
      <w:r>
        <w:t>。前端只负责渲染视图数据，减少页面逻辑和推理逻辑耦合。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 3 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r>
      <w:r/>
      <w:r>
        <w:rPr>
          <w:vertAlign w:val="superscript"/>
        </w:rPr>
      </w:r>
      <w:r/>
      <w:r>
        <w:t>根据前文需求分析，本文系统的总体目标是设计一个面向家庭能耗场景的 NILM 在线监测与推理系统，并为后续实现从用电数据进入、协议解析、数据存储、模型推理到结果展示的闭环提供总体方案。系统设计不以单一算法指标为唯一目标，而是强调 NILM 模型能力在工程系统中的接入、运行、验证和展示；真实部署研究也指出，NILM 从算法验证走向应用系统时需要同时关注数据链路、运行环境、计算资源和服务验证等问题</w:t>
      </w:r>
      <w:r>
        <w:rPr>
          <w:vertAlign w:val="superscript"/>
        </w:rPr>
        <w:t>[4]</w:t>
      </w:r>
      <w:r>
        <w:t>。</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r>
      <w:r>
        <w:t>第一，采集数据如何可靠进入系统。数据采集层需要接收终端或模拟终端输入，解析协议字段，维护设备状态，并保存原始数据和结构化记录，为后续推理提供可信输入。在线监测系统研究通常也将数据采集、通信传输和识别处理作为连续链路组织</w:t>
      </w:r>
      <w:r>
        <w:rPr>
          <w:vertAlign w:val="superscript"/>
        </w:rPr>
        <w:t>[12]</w:t>
      </w:r>
      <w:r>
        <w:t>。</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r>
      <w:r>
        <w:t>（1）分层职责明确。数据采集层负责终端接入和数据留痕，推理服务层负责模型加载和推理输出，应用展示层负责视图数据消费和页面展示。各层通过标准化数据和 API 连接，避免协议解析、模型运行和页面展示互相耦合</w:t>
      </w:r>
      <w:r>
        <w:rPr>
          <w:vertAlign w:val="superscript"/>
        </w:rPr>
        <w:t>[19]</w:t>
      </w:r>
      <w:r>
        <w:t>。</w:t>
      </w:r>
    </w:p>
    <w:p>
      <w:pPr>
        <w:spacing w:line="300" w:lineRule="auto" w:before="0" w:after="0"/>
        <w:ind w:firstLine="480"/>
      </w:pPr>
      <w:r>
        <w:rPr>
          <w:rFonts w:ascii="Times New Roman" w:hAnsi="Times New Roman" w:eastAsia="宋体"/>
          <w:color w:val="000000"/>
          <w:sz w:val="24"/>
        </w:rPr>
      </w:r>
      <w: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OpenAPI 规范也将 HTTP API 描述为可被人和计算机理解的接口说明形式，可为接口路径、操作和响应结构提供表达依据</w:t>
      </w:r>
      <w:r>
        <w:rPr>
          <w:vertAlign w:val="superscript"/>
        </w:rPr>
        <w:t>[20]</w:t>
      </w:r>
      <w:r>
        <w:t>。</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r>
      <w:r>
        <w:t>本文系统采用三层架构，包括数据采集层、NILM 推理服务层和应用展示层。三层之间通过结构化采集记录、推理服务接口和应用视图接口连接，使数据采集、模型推理和页面展示可以分别演进。已有非侵入式用电器在线监测系统也通常围绕采集、识别处理和软件展示组织系统结构</w:t>
      </w:r>
      <w:r>
        <w:rPr>
          <w:vertAlign w:val="superscript"/>
        </w:rPr>
        <w:t>[12]</w:t>
      </w:r>
      <w:r>
        <w:t>。总体架构如图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2"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r>
      <w:r>
        <w:t>数据采集层负责真实终端或模拟终端的数据接入。该层的核心能力包括 TCP 监听、多连接管理、固定协议报文解析、设备在线状态维护和数据持久化。TCP 提供面向连接的可靠传输机制，适合连续数据接入场景</w:t>
      </w:r>
      <w:r>
        <w:rPr>
          <w:vertAlign w:val="superscript"/>
        </w:rPr>
        <w:t>[14]</w:t>
      </w:r>
      <w:r>
        <w:t>。该层输出标准化的时序记录和采集状态信息，不承担模型训练和应用页面逻辑。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r>
      <w: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ONNX 为模型文件互操作提供统一表示基础</w:t>
      </w:r>
      <w:r>
        <w:rPr>
          <w:vertAlign w:val="superscript"/>
        </w:rPr>
        <w:t>[16]</w:t>
      </w:r>
      <w:r>
        <w:t>，ONNX Runtime 可作为推理运行时支撑模型调用</w:t>
      </w:r>
      <w:r>
        <w:rPr>
          <w:vertAlign w:val="superscript"/>
        </w:rPr>
        <w:t>[17]</w:t>
      </w:r>
      <w:r>
        <w:t>。该层输出设备级预测功率、开关事件、模型版本和会话状态。</w:t>
      </w:r>
    </w:p>
    <w:p>
      <w:pPr>
        <w:spacing w:line="300" w:lineRule="auto" w:before="0" w:after="0"/>
        <w:ind w:firstLine="480"/>
      </w:pPr>
      <w:r>
        <w:rPr>
          <w:rFonts w:ascii="Times New Roman" w:hAnsi="Times New Roman" w:eastAsia="宋体"/>
          <w:color w:val="000000"/>
          <w:sz w:val="24"/>
        </w:rPr>
      </w:r>
      <w:r>
        <w:t>应用展示层负责把推理结果组织为用户可理解的页面。该层不复用工程验证控制台作为最终产品页面，而是通过后端视图适配接口将推理结果转换为首页总览、设备详情和系统状态所需的视图数据。FastAPI 可用于组织 Python HTTP API 服务</w:t>
      </w:r>
      <w:r>
        <w:rPr>
          <w:vertAlign w:val="superscript"/>
        </w:rPr>
        <w:t>[18]</w:t>
      </w:r>
      <w:r>
        <w:t>，HTTP 语义为接口方法和响应含义提供基础约束</w:t>
      </w:r>
      <w:r>
        <w:rPr>
          <w:vertAlign w:val="superscript"/>
        </w:rPr>
        <w:t>[19]</w:t>
      </w:r>
      <w:r>
        <w:t>。前端只渲染后端返回的数据状态、设备状态、功率值和事件列表，不从原始采样点自行推断设备状态。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3"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r>
      <w:r>
        <w:t>（1）采集存储流程。终端或模拟终端向采集服务发送报文，采集服务接收 TCP 字节流后按协议解析设备标识、时间信息和电气量字段</w:t>
      </w:r>
      <w:r>
        <w:rPr>
          <w:vertAlign w:val="superscript"/>
        </w:rPr>
        <w:t>[14]</w:t>
      </w:r>
      <w:r>
        <w:t>。解析成功的数据写入 JSONL 结构化记录，解析失败的数据记录异常类型和原始信息</w:t>
      </w:r>
      <w:r>
        <w:rPr>
          <w:vertAlign w:val="superscript"/>
        </w:rPr>
        <w:t>[15]</w:t>
      </w:r>
      <w:r>
        <w:t>。该流程为后续推理和测试提供可追溯输入。</w:t>
      </w:r>
    </w:p>
    <w:p>
      <w:pPr>
        <w:spacing w:line="300" w:lineRule="auto" w:before="0" w:after="0"/>
        <w:ind w:firstLine="480"/>
      </w:pPr>
      <w:r>
        <w:rPr>
          <w:rFonts w:ascii="Times New Roman" w:hAnsi="Times New Roman" w:eastAsia="宋体"/>
          <w:color w:val="000000"/>
          <w:sz w:val="24"/>
        </w:rPr>
      </w:r>
      <w: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NILMTK 等工具链也将数据集处理、负荷分解和指标评价作为 NILM 实验复现的重要组成部分</w:t>
      </w:r>
      <w:r>
        <w:rPr>
          <w:vertAlign w:val="superscript"/>
        </w:rPr>
        <w:t>[11]</w:t>
      </w:r>
      <w:r>
        <w:t>。</w:t>
      </w:r>
    </w:p>
    <w:p>
      <w:pPr>
        <w:spacing w:line="300" w:lineRule="auto" w:before="0" w:after="0"/>
        <w:ind w:firstLine="480"/>
      </w:pPr>
      <w:r>
        <w:rPr>
          <w:rFonts w:ascii="Times New Roman" w:hAnsi="Times New Roman" w:eastAsia="宋体"/>
          <w:color w:val="000000"/>
          <w:sz w:val="24"/>
        </w:rPr>
      </w:r>
      <w: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该流程用于缩小离线实验与在线运行之间的验证差距，这也是 NILM 真实部署研究中反复强调的工程问题</w:t>
      </w:r>
      <w:r>
        <w:rPr>
          <w:vertAlign w:val="superscript"/>
        </w:rPr>
        <w:t>[4]</w:t>
      </w:r>
      <w:r>
        <w:t>。</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 4 章重点说明数据采集、协议解析和数据存储；第 5 章重点说明模型包管理、推理服务和在线回放；第 6 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r>
      <w:r>
        <w:t>系统的关键接口包括采集记录结构、模型包契约、推理服务接口和应用视图接口。接口设计目标是让数据采集、模型推理和应用展示可以分别演进，同时保持可验证的连接关系。对于 HTTP API，接口路径、请求方法、参数和响应结构可以通过规范化接口描述降低调用方理解成本</w:t>
      </w:r>
      <w:r>
        <w:rPr>
          <w:vertAlign w:val="superscript"/>
        </w:rPr>
        <w:t>[20]</w:t>
      </w:r>
      <w:r>
        <w:t>。</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r>
      <w: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等用于离线评估。JSON Lines 适合保存逐行独立的结构化 JSON 记录，因此可用于采集链路中的轻量级时序留痕</w:t>
      </w:r>
      <w:r>
        <w:rPr>
          <w:vertAlign w:val="superscript"/>
        </w:rPr>
        <w:t>[15]</w:t>
      </w:r>
      <w:r>
        <w:t>。</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模型包是推理服务层加载模型能力的基本单位。作为基础设计约定，一个模型包主要包含模型文件、模型元数据、归一化参数、后处理配置、接口说明和包清单等内容。服务加载模型包时，需要检查接口版本、采样周期、输入输出张量和目标设备顺序。ONNX 模型文件可以作为模型包中的推理文件格式</w:t>
      </w:r>
      <w:r>
        <w:rPr>
          <w:vertAlign w:val="superscript"/>
        </w:rPr>
        <w:t>[16]</w:t>
      </w:r>
      <w:r>
        <w:t>，推理服务则可通过运行时加载模型并执行推理</w:t>
      </w:r>
      <w:r>
        <w:rPr>
          <w:vertAlign w:val="superscript"/>
        </w:rPr>
        <w:t>[17]</w:t>
      </w:r>
      <w:r>
        <w:t>。该设计用于降低模型替换对服务代码和应用展示层的影响，后续实现章节将结合实际模型包文件结构进行说明。</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rPr>
          <w:tblHeader w:val="true"/>
        </w:trP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r>
            <w:r>
              <w:t>接口版本、输入输出张量名称和形状，作为设计约定可随实现调整</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r>
            <w:r>
              <w:t>包清单、生成时间、校验信息，作为设计约定可随实现调整</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r>
      <w:r>
        <w:t>推理服务接口分为健康检查、会话管理、数据写入、结果查询和离线推理几类。在线会话接口通过启动会话、写入采样点和查询最新状态完成滚动推理；离线推理接口通过区间参数返回预测序列、事件和指标。HTTP 方法语义为 GET、POST 等接口操作提供了通用约束</w:t>
      </w:r>
      <w:r>
        <w:rPr>
          <w:vertAlign w:val="superscript"/>
        </w:rPr>
        <w:t>[19]</w:t>
      </w:r>
      <w:r>
        <w:t>，OpenAPI 规范则可用于表达接口路径、操作、请求体和响应结构</w:t>
      </w:r>
      <w:r>
        <w:rPr>
          <w:vertAlign w:val="superscript"/>
        </w:rPr>
        <w:t>[20]</w:t>
      </w:r>
      <w:r>
        <w:t>。</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r>
      <w:r>
        <w:t>应用视图接口用于连接推理服务层和应用展示层。后端视图适配接口内部可以调用推理服务接口，但前端只依赖应用级接口和视图数据结构。基础实现范围内，前端依赖首页总览、设备详情和系统状态三类接口。该设计与服务化接口的基本思想一致，即调用方通过稳定接口理解服务能力，而不直接依赖服务内部实现</w:t>
      </w:r>
      <w:r>
        <w:rPr>
          <w:vertAlign w:val="superscript"/>
        </w:rPr>
        <w:t>[19]</w:t>
      </w:r>
      <w:r>
        <w:t>。</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r>
      <w: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NILM 综述研究通常也将低侵入、少传感器部署视为该类方法相对于侵入式监测的重要优势</w:t>
      </w:r>
      <w:r>
        <w:rPr>
          <w:vertAlign w:val="superscript"/>
        </w:rPr>
        <w:t>[2]</w:t>
      </w:r>
      <w:r>
        <w:t>。</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NILM 方案的核心优势在于低侵入式部署。系统只需围绕总进线或总表侧采集总负荷数据，再通过模型推理获得设备级用电估计结果</w:t>
      </w:r>
      <w:r>
        <w:rPr>
          <w:vertAlign w:val="superscript"/>
        </w:rPr>
        <w:t>[1]</w:t>
      </w:r>
      <w:r>
        <w:t>。与侵入式方案相比，该方案理论上减少设备接入数量和安装复杂度</w:t>
      </w:r>
      <w:r>
        <w:rPr>
          <w:vertAlign w:val="superscript"/>
        </w:rPr>
        <w:t>[2]</w:t>
      </w:r>
      <w:r>
        <w:t>；同时，模型和推理服务可以通过软件升级方式持续改进，后续新增设备类别或更换模型时不必同步改造全部采集链路。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r>
      <w:r>
        <w:t>从本文系统实现角度看，系统采用分层设计和模型包契约，在维护工作量方面具有一定定性优势。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r>
      <w:r>
        <w:t>上述比较为毕业设计阶段的定性可行性分析，不作为实际商业部署成本结论。表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r>
      <w:r/>
      <w:r>
        <w:rPr>
          <w:vertAlign w:val="superscript"/>
        </w:rPr>
      </w:r>
      <w:r/>
      <w:r>
        <w:t>综上，本文采用 NILM 在线监测与推理系统方案，从定性分析角度看，在硬件部署复杂度、系统扩展性和演示可复现性方面具有一定优势。该方案的局限在于设备级结果依赖模型质量和输入数据质量，因此后续章节仍需通过模型指标、回放结果和端到端展示对系统有效性进行验证。相关研究也指出，真实场景中的多设备叠加、噪声、缺失和部署差异会影响 NILM 效果，需要结合系统运行证据进行评价</w:t>
      </w:r>
      <w:r>
        <w:rPr>
          <w:vertAlign w:val="superscript"/>
        </w:rPr>
        <w:t>[3]</w:t>
      </w:r>
      <w:r>
        <w:t>。</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r>
      <w:r>
        <w:t>通过本章设计，系统的层次结构、数据流、模块职责、关键接口和技术经济可行性已经明确。后续第 4 章将展开数据采集与预处理模块的具体实现，第 5 章将展开 NILM 推理服务模块的实现，第 6 章将说明应用展示层的基础功能和页面实现，第 7 章将通过测试与结果分析验证系统链路是否达到设计目标。</w:t>
      </w:r>
    </w:p>
    <w:p>
      <w:r>
        <w:br w:type="page"/>
      </w:r>
    </w:p>
    <w:p>
      <w:pPr>
        <w:pStyle w:val="Heading1"/>
        <w:spacing w:before="0" w:after="240"/>
        <w:jc w:val="center"/>
      </w:pPr>
      <w:r>
        <w:rPr>
          <w:rFonts w:ascii="Times New Roman" w:hAnsi="Times New Roman" w:eastAsia="黑体"/>
          <w:b w:val="0"/>
          <w:sz w:val="36"/>
        </w:rPr>
        <w:t>第 4 章 数据采集与预处理模块设计实现</w:t>
      </w:r>
    </w:p>
    <w:p>
      <w:pPr>
        <w:pStyle w:val="Heading2"/>
        <w:spacing w:before="120" w:after="120"/>
        <w:jc w:val="left"/>
      </w:pPr>
      <w:r>
        <w:rPr>
          <w:rFonts w:ascii="Times New Roman" w:hAnsi="Times New Roman" w:eastAsia="黑体"/>
          <w:b w:val="0"/>
          <w:sz w:val="30"/>
        </w:rPr>
        <w:t>4.1 本章目标与模块边界</w:t>
      </w:r>
    </w:p>
    <w:p>
      <w:pPr>
        <w:spacing w:line="300" w:lineRule="auto" w:after="0" w:before="0"/>
        <w:ind w:firstLine="480"/>
        <w:jc w:val="left"/>
      </w:pPr>
      <w:r>
        <w:rPr>
          <w:rFonts w:ascii="Times New Roman" w:hAnsi="Times New Roman" w:eastAsia="宋体"/>
          <w:b w:val="0"/>
          <w:color w:val="000000"/>
          <w:sz w:val="24"/>
        </w:rPr>
        <w:t>第 3 章已经将系统划分为数据采集层、NILM 推理服务层和应用展示层。本章围绕其中的数据采集层展开，重点说明系统如何接收终端上报的量测数据，如何按照协议将二进制报文解析为结构化字段，以及如何通过持久化记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after="0" w:before="0"/>
        <w:ind w:firstLine="480"/>
        <w:jc w:val="left"/>
      </w:pPr>
      <w:r>
        <w:rPr>
          <w:rFonts w:ascii="Times New Roman" w:hAnsi="Times New Roman" w:eastAsia="宋体"/>
          <w:b w:val="0"/>
          <w:color w:val="000000"/>
          <w:sz w:val="24"/>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 5 章内容；模型指标、端到端测试和结果讨论属于第 7 章内容。通过这种边界划分，本章集中回答一个问题：接收端能否把终端或模拟终端上报的字节流转换为后续系统可使用的结构化量测记录。</w:t>
      </w:r>
    </w:p>
    <w:p>
      <w:pPr>
        <w:spacing w:line="300" w:lineRule="auto" w:after="0" w:before="0"/>
        <w:ind w:firstLine="480"/>
        <w:jc w:val="left"/>
      </w:pPr>
      <w:r>
        <w:rPr>
          <w:rFonts w:ascii="Times New Roman" w:hAnsi="Times New Roman" w:eastAsia="宋体"/>
          <w:b w:val="0"/>
          <w:color w:val="000000"/>
          <w:sz w:val="24"/>
        </w:rPr>
        <w:t>本章实现证据主要来自 Stage-01 数据采集后台。该阶段包含 WPF 采集后台、TCP 采集服务、协议解析器、JSONL 存储模块和模拟终端工具。为体现接收端处理能力，本章除说明常规采集链路外，还补充了本机压力联调结果，用于观察接收端在多连接和较高频率模拟输入下的接收、解析和落盘情况。该压力联调用于验证接收端处理链路，不等同于真实网络环境或真实硬件终端实测。</w:t>
      </w:r>
    </w:p>
    <w:p>
      <w:pPr>
        <w:pStyle w:val="Heading2"/>
        <w:spacing w:before="120" w:after="120"/>
        <w:jc w:val="left"/>
      </w:pPr>
      <w:r>
        <w:rPr>
          <w:rFonts w:ascii="Times New Roman" w:hAnsi="Times New Roman" w:eastAsia="黑体"/>
          <w:b w:val="0"/>
          <w:sz w:val="30"/>
        </w:rPr>
        <w:t>4.2 数据采集与预处理总体流程</w:t>
      </w:r>
    </w:p>
    <w:p>
      <w:pPr>
        <w:spacing w:line="300" w:lineRule="auto" w:after="0" w:before="0"/>
        <w:ind w:firstLine="480"/>
        <w:jc w:val="left"/>
      </w:pPr>
      <w:r>
        <w:rPr>
          <w:rFonts w:ascii="Times New Roman" w:hAnsi="Times New Roman" w:eastAsia="宋体"/>
          <w:b w:val="0"/>
          <w:color w:val="000000"/>
          <w:sz w:val="24"/>
        </w:rPr>
        <w:t>数据采集模块的总体流程如图 4-1 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spacing w:after="60"/>
        <w:jc w:val="center"/>
      </w:pPr>
      <w:r>
        <w:drawing>
          <wp:inline xmlns:a="http://schemas.openxmlformats.org/drawingml/2006/main" xmlns:pic="http://schemas.openxmlformats.org/drawingml/2006/picture">
            <wp:extent cx="5688000" cy="1782905"/>
            <wp:docPr id="4" name="Picture 1"/>
            <wp:cNvGraphicFramePr>
              <a:graphicFrameLocks noChangeAspect="1"/>
            </wp:cNvGraphicFramePr>
            <a:graphic>
              <a:graphicData uri="http://schemas.openxmlformats.org/drawingml/2006/picture">
                <pic:pic>
                  <pic:nvPicPr>
                    <pic:cNvPr id="4" name="figure-4-1-data-collection-flow.png"/>
                    <pic:cNvPicPr/>
                  </pic:nvPicPr>
                  <pic:blipFill>
                    <a:blip r:embed="rId17"/>
                    <a:stretch>
                      <a:fillRect/>
                    </a:stretch>
                  </pic:blipFill>
                  <pic:spPr>
                    <a:xfrm>
                      <a:off x="0" y="0"/>
                      <a:ext cx="5688000" cy="1782905"/>
                    </a:xfrm>
                    <a:prstGeom prst="rect"/>
                  </pic:spPr>
                </pic:pic>
              </a:graphicData>
            </a:graphic>
          </wp:inline>
        </w:drawing>
      </w:r>
    </w:p>
    <w:p>
      <w:pPr>
        <w:spacing w:after="120" w:before="120"/>
        <w:jc w:val="center"/>
      </w:pPr>
      <w:r>
        <w:rPr>
          <w:rFonts w:ascii="Times New Roman" w:hAnsi="Times New Roman" w:eastAsia="宋体"/>
          <w:b w:val="0"/>
          <w:color w:val="000000"/>
          <w:sz w:val="21"/>
        </w:rPr>
        <w:t>图 4-1 数据采集与预处理流程图</w:t>
      </w:r>
    </w:p>
    <w:p>
      <w:pPr>
        <w:spacing w:line="300" w:lineRule="auto" w:after="0" w:before="0"/>
        <w:ind w:firstLine="480"/>
        <w:jc w:val="left"/>
      </w:pPr>
      <w:r>
        <w:rPr>
          <w:rFonts w:ascii="Times New Roman" w:hAnsi="Times New Roman" w:eastAsia="宋体"/>
          <w:b w:val="0"/>
          <w:color w:val="000000"/>
          <w:sz w:val="24"/>
        </w:rPr>
        <w:t>图 4-1 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after="0" w:before="0"/>
        <w:ind w:firstLine="480"/>
        <w:jc w:val="left"/>
      </w:pPr>
      <w:r>
        <w:rPr>
          <w:rFonts w:ascii="Times New Roman" w:hAnsi="Times New Roman" w:eastAsia="宋体"/>
          <w:b w:val="0"/>
          <w:color w:val="000000"/>
          <w:sz w:val="24"/>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记录，适合持续追加写入，也便于后续按时间范围逐行读取或统计检查。因此，该方案在实现复杂度和可追溯性之间取得了较好的平衡。</w:t>
      </w:r>
    </w:p>
    <w:p>
      <w:pPr>
        <w:spacing w:line="300" w:lineRule="auto" w:after="0" w:before="0"/>
        <w:ind w:firstLine="480"/>
        <w:jc w:val="left"/>
      </w:pPr>
      <w:r>
        <w:rPr>
          <w:rFonts w:ascii="Times New Roman" w:hAnsi="Times New Roman" w:eastAsia="宋体"/>
          <w:b w:val="0"/>
          <w:color w:val="000000"/>
          <w:sz w:val="24"/>
        </w:rPr>
        <w:t>采集后台运行总览如图 4-2 所示。在常规模拟联调过程中，系统显示 20 个终端在线，累计报文持续增长，异常报文数量为 0，当前接收速率约为 20 帧/秒。该页面同时展示监听地址、落盘目录、终端总览和最近事件，能够从界面层面观察采集服务、模拟终端连接和设备状态聚合是否正常工作。</w:t>
      </w:r>
    </w:p>
    <w:p>
      <w:pPr>
        <w:spacing w:after="60"/>
        <w:jc w:val="center"/>
      </w:pPr>
      <w:r>
        <w:drawing>
          <wp:inline xmlns:a="http://schemas.openxmlformats.org/drawingml/2006/main" xmlns:pic="http://schemas.openxmlformats.org/drawingml/2006/picture">
            <wp:extent cx="5688000" cy="3625143"/>
            <wp:docPr id="5" name="Picture 2"/>
            <wp:cNvGraphicFramePr>
              <a:graphicFrameLocks noChangeAspect="1"/>
            </wp:cNvGraphicFramePr>
            <a:graphic>
              <a:graphicData uri="http://schemas.openxmlformats.org/drawingml/2006/picture">
                <pic:pic>
                  <pic:nvPicPr>
                    <pic:cNvPr id="5" name="figure-4-3-collection-dashboard-overview.png"/>
                    <pic:cNvPicPr/>
                  </pic:nvPicPr>
                  <pic:blipFill>
                    <a:blip r:embed="rId18"/>
                    <a:stretch>
                      <a:fillRect/>
                    </a:stretch>
                  </pic:blipFill>
                  <pic:spPr>
                    <a:xfrm>
                      <a:off x="0" y="0"/>
                      <a:ext cx="5688000" cy="3625143"/>
                    </a:xfrm>
                    <a:prstGeom prst="rect"/>
                  </pic:spPr>
                </pic:pic>
              </a:graphicData>
            </a:graphic>
          </wp:inline>
        </w:drawing>
      </w:r>
    </w:p>
    <w:p>
      <w:pPr>
        <w:spacing w:after="120" w:before="120"/>
        <w:jc w:val="center"/>
      </w:pPr>
      <w:r>
        <w:rPr>
          <w:rFonts w:ascii="Times New Roman" w:hAnsi="Times New Roman" w:eastAsia="宋体"/>
          <w:b w:val="0"/>
          <w:color w:val="000000"/>
          <w:sz w:val="21"/>
        </w:rPr>
        <w:t>图 4-2 数据采集后台运行总览</w:t>
      </w:r>
    </w:p>
    <w:p>
      <w:pPr>
        <w:pStyle w:val="Heading2"/>
        <w:spacing w:before="120" w:after="120"/>
        <w:jc w:val="left"/>
      </w:pPr>
      <w:r>
        <w:rPr>
          <w:rFonts w:ascii="Times New Roman" w:hAnsi="Times New Roman" w:eastAsia="黑体"/>
          <w:b w:val="0"/>
          <w:sz w:val="30"/>
        </w:rPr>
        <w:t>4.3 TCP 数据采集服务设计与实现</w:t>
      </w:r>
    </w:p>
    <w:p>
      <w:pPr>
        <w:spacing w:line="300" w:lineRule="auto" w:after="0" w:before="0"/>
        <w:ind w:firstLine="480"/>
        <w:jc w:val="left"/>
      </w:pPr>
      <w:r>
        <w:rPr>
          <w:rFonts w:ascii="Times New Roman" w:hAnsi="Times New Roman" w:eastAsia="宋体"/>
          <w:b w:val="0"/>
          <w:color w:val="000000"/>
          <w:sz w:val="24"/>
        </w:rPr>
        <w:t xml:space="preserve">采集服务的核心实现位于 </w:t>
      </w:r>
      <w:r>
        <w:rPr>
          <w:rFonts w:ascii="Times New Roman" w:hAnsi="Times New Roman" w:eastAsia="宋体"/>
          <w:b w:val="0"/>
          <w:color w:val="000000"/>
          <w:sz w:val="24"/>
        </w:rPr>
        <w:t>TcpMeasurementServer</w:t>
      </w:r>
      <w:r>
        <w:rPr>
          <w:rFonts w:ascii="Times New Roman" w:hAnsi="Times New Roman" w:eastAsia="宋体"/>
          <w:b w:val="0"/>
          <w:color w:val="000000"/>
          <w:sz w:val="24"/>
        </w:rPr>
        <w:t xml:space="preserve">。服务启动时根据配置文件中的监听地址和端口创建 </w:t>
      </w:r>
      <w:r>
        <w:rPr>
          <w:rFonts w:ascii="Times New Roman" w:hAnsi="Times New Roman" w:eastAsia="宋体"/>
          <w:b w:val="0"/>
          <w:color w:val="000000"/>
          <w:sz w:val="24"/>
        </w:rPr>
        <w:t>TcpListener</w:t>
      </w:r>
      <w:r>
        <w:rPr>
          <w:rFonts w:ascii="Times New Roman" w:hAnsi="Times New Roman" w:eastAsia="宋体"/>
          <w:b w:val="0"/>
          <w:color w:val="000000"/>
          <w:sz w:val="24"/>
        </w:rPr>
        <w:t>，默认监听端口为 5000。当服务启动后，接收循环持续等待客户端连接。每当新的终端连接建立后，系统为该连接启动独立的异步处理流程，从而支持多个终端同时上报数据。</w:t>
      </w:r>
    </w:p>
    <w:p>
      <w:pPr>
        <w:spacing w:line="300" w:lineRule="auto" w:after="0" w:before="0"/>
        <w:ind w:firstLine="480"/>
        <w:jc w:val="left"/>
      </w:pPr>
      <w:r>
        <w:rPr>
          <w:rFonts w:ascii="Times New Roman" w:hAnsi="Times New Roman" w:eastAsia="宋体"/>
          <w:b w:val="0"/>
          <w:color w:val="000000"/>
          <w:sz w:val="24"/>
        </w:rPr>
        <w:t>在连接处理过程中，接收端不会把任意一次 ReadAsync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ReadFrameAsync 方法按固定长度拼接完整帧，避免协议解析器处理长度不确定的数据。该方法的核心逻辑是维护固定长度帧缓冲区，将每次异步读取结果追加到缓冲区，当累计长度达到 44 字节时再交由协议解析器处理。</w:t>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p>
    <w:p>
      <w:pPr>
        <w:spacing w:line="300" w:lineRule="auto" w:after="0" w:before="0"/>
        <w:ind w:firstLine="480"/>
        <w:jc w:val="left"/>
      </w:pPr>
      <w:r>
        <w:rPr>
          <w:rFonts w:ascii="Times New Roman" w:hAnsi="Times New Roman" w:eastAsia="宋体"/>
          <w:b w:val="0"/>
          <w:color w:val="000000"/>
          <w:sz w:val="24"/>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after="0" w:before="0"/>
        <w:ind w:firstLine="480"/>
        <w:jc w:val="left"/>
      </w:pPr>
      <w:r>
        <w:rPr>
          <w:rFonts w:ascii="Times New Roman" w:hAnsi="Times New Roman" w:eastAsia="宋体"/>
          <w:b w:val="0"/>
          <w:color w:val="000000"/>
          <w:sz w:val="24"/>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spacing w:before="120" w:after="120"/>
        <w:jc w:val="left"/>
      </w:pPr>
      <w:r>
        <w:rPr>
          <w:rFonts w:ascii="Times New Roman" w:hAnsi="Times New Roman" w:eastAsia="黑体"/>
          <w:b w:val="0"/>
          <w:sz w:val="30"/>
        </w:rPr>
        <w:t>4.4 量测报文协议解析</w:t>
      </w:r>
    </w:p>
    <w:p>
      <w:pPr>
        <w:spacing w:line="300" w:lineRule="auto" w:after="0" w:before="0"/>
        <w:ind w:firstLine="480"/>
        <w:jc w:val="left"/>
      </w:pPr>
      <w:r>
        <w:rPr>
          <w:rFonts w:ascii="Times New Roman" w:hAnsi="Times New Roman" w:eastAsia="宋体"/>
          <w:b w:val="0"/>
          <w:color w:val="000000"/>
          <w:sz w:val="24"/>
        </w:rPr>
        <w:t>当前量测上报协议采用 44 字节定长二进制结构，字节序为 little-endian。协议字段由 2 个 Int32 和 9 个 Float32 组成。偏移 0 至偏移 3 的 4 个字节为设备 ID，用于区分不同终端；偏移 4 至偏移 7 的 4 个字节为上报时间戳；后续字段依次表示三相电流、三相电压和三相功率。当前协议中的上报时间采用 Unix 秒级时间戳，解析后按 UTC 时间转换为 reportTimeUtc 字段；平台接收时间 receivedAt 表示采集端收到报文的时间。二者分别用于终端量测时间序列构造和接收端运行状态统计。协议字段结构如表 4-1 所示。</w:t>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p>
    <w:p>
      <w:pPr>
        <w:spacing w:after="120" w:before="120"/>
        <w:ind/>
        <w:jc w:val="center"/>
      </w:pPr>
      <w:r>
        <w:rPr>
          <w:rFonts w:ascii="Times New Roman" w:hAnsi="Times New Roman" w:eastAsia="宋体"/>
          <w:b w:val="0"/>
          <w:color w:val="000000"/>
          <w:sz w:val="21"/>
        </w:rPr>
        <w:t>表 4-1 量测上报报文字段结构</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871"/>
        <w:gridCol w:w="1871"/>
        <w:gridCol w:w="1871"/>
        <w:gridCol w:w="1871"/>
        <w:gridCol w:w="1871"/>
      </w:tblGrid>
      <w:tr>
        <w:trPr>
          <w:tblHeader w:val="true"/>
        </w:trPr>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偏移</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长度</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类型</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字段</w:t>
            </w:r>
          </w:p>
        </w:tc>
        <w:tc>
          <w:tcPr>
            <w:tcW w:type="dxa" w:w="1871"/>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说明</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0</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Int32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设备 ID</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用于区分上报终端</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Int32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上报时间</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Unix 时间戳</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8</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电流 A</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A 相电流</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电流 B</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B 相电流</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16</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电流 C</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 相电流</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20</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电压 A</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A 相电压</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电压 B</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B 相电压</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28</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电压 C</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 相电压</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功率 A</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A 相功率</w:t>
            </w:r>
          </w:p>
        </w:tc>
      </w:tr>
      <w:tr>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36</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功率 B</w:t>
            </w:r>
          </w:p>
        </w:tc>
        <w:tc>
          <w:tcPr>
            <w:tcW w:type="dxa" w:w="1871"/>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B 相功率</w:t>
            </w:r>
          </w:p>
        </w:tc>
      </w:tr>
      <w:tr>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40</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4</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Float32</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功率 C</w:t>
            </w:r>
          </w:p>
        </w:tc>
        <w:tc>
          <w:tcPr>
            <w:tcW w:type="dxa" w:w="1871"/>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 相功率</w:t>
            </w:r>
          </w:p>
        </w:tc>
      </w:tr>
    </w:tbl>
    <w:p>
      <w:pPr>
        <w:spacing w:line="300" w:lineRule="auto" w:after="0" w:before="0"/>
        <w:ind w:firstLine="480"/>
        <w:jc w:val="left"/>
      </w:pPr>
      <w:r>
        <w:rPr>
          <w:rFonts w:ascii="Times New Roman" w:hAnsi="Times New Roman" w:eastAsia="宋体"/>
          <w:b w:val="0"/>
          <w:color w:val="000000"/>
          <w:sz w:val="24"/>
        </w:rPr>
        <w:t>报文结构也可以表示为图 4-3。该图用于直观展示 44 字节数据帧与字段偏移之间的对应关系，正文解析仍以表 4-1 为准。</w:t>
      </w:r>
    </w:p>
    <w:p>
      <w:pPr>
        <w:spacing w:after="60"/>
        <w:jc w:val="center"/>
      </w:pPr>
      <w:r>
        <w:drawing>
          <wp:inline xmlns:a="http://schemas.openxmlformats.org/drawingml/2006/main" xmlns:pic="http://schemas.openxmlformats.org/drawingml/2006/picture">
            <wp:extent cx="5688000" cy="1130370"/>
            <wp:docPr id="6" name="Picture 3"/>
            <wp:cNvGraphicFramePr>
              <a:graphicFrameLocks noChangeAspect="1"/>
            </wp:cNvGraphicFramePr>
            <a:graphic>
              <a:graphicData uri="http://schemas.openxmlformats.org/drawingml/2006/picture">
                <pic:pic>
                  <pic:nvPicPr>
                    <pic:cNvPr id="6" name="figure-4-4-packet-layout.png"/>
                    <pic:cNvPicPr/>
                  </pic:nvPicPr>
                  <pic:blipFill>
                    <a:blip r:embed="rId19"/>
                    <a:stretch>
                      <a:fillRect/>
                    </a:stretch>
                  </pic:blipFill>
                  <pic:spPr>
                    <a:xfrm>
                      <a:off x="0" y="0"/>
                      <a:ext cx="5688000" cy="1130370"/>
                    </a:xfrm>
                    <a:prstGeom prst="rect"/>
                  </pic:spPr>
                </pic:pic>
              </a:graphicData>
            </a:graphic>
          </wp:inline>
        </w:drawing>
      </w:r>
    </w:p>
    <w:p>
      <w:pPr>
        <w:spacing w:after="120" w:before="120"/>
        <w:jc w:val="center"/>
      </w:pPr>
      <w:r>
        <w:rPr>
          <w:rFonts w:ascii="Times New Roman" w:hAnsi="Times New Roman" w:eastAsia="宋体"/>
          <w:b w:val="0"/>
          <w:color w:val="000000"/>
          <w:sz w:val="21"/>
        </w:rPr>
        <w:t>图 4-3 44 字节量测报文结构示意图</w:t>
      </w:r>
    </w:p>
    <w:p>
      <w:pPr>
        <w:spacing w:line="300" w:lineRule="auto" w:after="0" w:before="0"/>
        <w:ind w:firstLine="480"/>
        <w:jc w:val="left"/>
      </w:pPr>
      <w:r>
        <w:rPr>
          <w:rFonts w:ascii="Times New Roman" w:hAnsi="Times New Roman" w:eastAsia="宋体"/>
          <w:b w:val="0"/>
          <w:color w:val="000000"/>
          <w:sz w:val="24"/>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Times New Roman" w:hAnsi="Times New Roman" w:eastAsia="宋体"/>
          <w:b w:val="0"/>
          <w:color w:val="000000"/>
          <w:sz w:val="24"/>
        </w:rPr>
        <w:t>MeasurementRecord</w:t>
      </w:r>
      <w:r>
        <w:rPr>
          <w:rFonts w:ascii="Times New Roman" w:hAnsi="Times New Roman" w:eastAsia="宋体"/>
          <w:b w:val="0"/>
          <w:color w:val="000000"/>
          <w:sz w:val="24"/>
        </w:rPr>
        <w:t>，其中包含接收时间、来源连接、设备编号、上报时间、电流、电压、功率、解析状态和原始报文十六进制表示。当前原型采用 Int32 秒级时间戳，满足本阶段模拟联调需要；后续真实部署时可扩展为 Int64 毫秒级时间戳，以提高时间精度和长期兼容性。</w:t>
      </w:r>
    </w:p>
    <w:p>
      <w:pPr>
        <w:spacing w:line="300" w:lineRule="auto" w:after="0" w:before="0"/>
        <w:ind w:firstLine="480"/>
        <w:jc w:val="left"/>
      </w:pPr>
      <w:r>
        <w:rPr>
          <w:rFonts w:ascii="Times New Roman" w:hAnsi="Times New Roman" w:eastAsia="宋体"/>
          <w:b w:val="0"/>
          <w:color w:val="000000"/>
          <w:sz w:val="24"/>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spacing w:before="120" w:after="120"/>
        <w:jc w:val="left"/>
      </w:pPr>
      <w:r>
        <w:rPr>
          <w:rFonts w:ascii="Times New Roman" w:hAnsi="Times New Roman" w:eastAsia="黑体"/>
          <w:b w:val="0"/>
          <w:sz w:val="30"/>
        </w:rPr>
        <w:t>4.5 设备状态聚合与边界情况处理设计</w:t>
      </w:r>
    </w:p>
    <w:p>
      <w:pPr>
        <w:spacing w:line="300" w:lineRule="auto" w:after="0" w:before="0"/>
        <w:ind w:firstLine="480"/>
        <w:jc w:val="left"/>
      </w:pPr>
      <w:r>
        <w:rPr>
          <w:rFonts w:ascii="Times New Roman" w:hAnsi="Times New Roman" w:eastAsia="宋体"/>
          <w:b w:val="0"/>
          <w:color w:val="000000"/>
          <w:sz w:val="24"/>
        </w:rPr>
        <w:t xml:space="preserve">协议解析后的记录需要进一步按设备维度聚合。系统使用设备 ID 作为聚合键，并通过配置文件中的 </w:t>
      </w:r>
      <w:r>
        <w:rPr>
          <w:rFonts w:ascii="Times New Roman" w:hAnsi="Times New Roman" w:eastAsia="宋体"/>
          <w:b w:val="0"/>
          <w:color w:val="000000"/>
          <w:sz w:val="24"/>
        </w:rPr>
        <w:t>Devices</w:t>
      </w:r>
      <w:r>
        <w:rPr>
          <w:rFonts w:ascii="Times New Roman" w:hAnsi="Times New Roman" w:eastAsia="宋体"/>
          <w:b w:val="0"/>
          <w:color w:val="000000"/>
          <w:sz w:val="24"/>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after="0" w:before="0"/>
        <w:ind w:firstLine="480"/>
        <w:jc w:val="left"/>
      </w:pPr>
      <w:r>
        <w:rPr>
          <w:rFonts w:ascii="Times New Roman" w:hAnsi="Times New Roman" w:eastAsia="宋体"/>
          <w:b w:val="0"/>
          <w:color w:val="000000"/>
          <w:sz w:val="24"/>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after="0" w:before="0"/>
        <w:ind w:firstLine="480"/>
        <w:jc w:val="left"/>
      </w:pPr>
      <w:r>
        <w:rPr>
          <w:rFonts w:ascii="Times New Roman" w:hAnsi="Times New Roman" w:eastAsia="宋体"/>
          <w:b w:val="0"/>
          <w:color w:val="000000"/>
          <w:sz w:val="24"/>
        </w:rPr>
        <w:t>单终端状态聚合效果如图 4-4 所示。设备详情页显示设备 ID、最近接收时间、上报时间、连接来源、在线状态、三相电流、三相电压、三相功率和累计报文数量，并以最近采样点绘制 A 相功率实时趋势。该界面说明采集端不仅保存单条报文，也会将连续报文聚合为面向设备的当前状态和短期趋势。</w:t>
      </w:r>
    </w:p>
    <w:p>
      <w:pPr>
        <w:spacing w:after="60"/>
        <w:jc w:val="center"/>
      </w:pPr>
      <w:r>
        <w:drawing>
          <wp:inline xmlns:a="http://schemas.openxmlformats.org/drawingml/2006/main" xmlns:pic="http://schemas.openxmlformats.org/drawingml/2006/picture">
            <wp:extent cx="5688000" cy="3427622"/>
            <wp:docPr id="7" name="Picture 4"/>
            <wp:cNvGraphicFramePr>
              <a:graphicFrameLocks noChangeAspect="1"/>
            </wp:cNvGraphicFramePr>
            <a:graphic>
              <a:graphicData uri="http://schemas.openxmlformats.org/drawingml/2006/picture">
                <pic:pic>
                  <pic:nvPicPr>
                    <pic:cNvPr id="7" name="figure-4-4-terminal-realtime-trend.png"/>
                    <pic:cNvPicPr/>
                  </pic:nvPicPr>
                  <pic:blipFill>
                    <a:blip r:embed="rId20"/>
                    <a:stretch>
                      <a:fillRect/>
                    </a:stretch>
                  </pic:blipFill>
                  <pic:spPr>
                    <a:xfrm>
                      <a:off x="0" y="0"/>
                      <a:ext cx="5688000" cy="3427622"/>
                    </a:xfrm>
                    <a:prstGeom prst="rect"/>
                  </pic:spPr>
                </pic:pic>
              </a:graphicData>
            </a:graphic>
          </wp:inline>
        </w:drawing>
      </w:r>
    </w:p>
    <w:p>
      <w:pPr>
        <w:spacing w:after="120" w:before="120"/>
        <w:jc w:val="center"/>
      </w:pPr>
      <w:r>
        <w:rPr>
          <w:rFonts w:ascii="Times New Roman" w:hAnsi="Times New Roman" w:eastAsia="宋体"/>
          <w:b w:val="0"/>
          <w:color w:val="000000"/>
          <w:sz w:val="21"/>
        </w:rPr>
        <w:t>图 4-4 单终端实时趋势展示</w:t>
      </w:r>
    </w:p>
    <w:p>
      <w:pPr>
        <w:spacing w:line="300" w:lineRule="auto" w:after="0" w:before="0"/>
        <w:ind w:firstLine="480"/>
        <w:jc w:val="left"/>
      </w:pPr>
      <w:r>
        <w:rPr>
          <w:rFonts w:ascii="Times New Roman" w:hAnsi="Times New Roman" w:eastAsia="宋体"/>
          <w:b w:val="0"/>
          <w:color w:val="000000"/>
          <w:sz w:val="24"/>
        </w:rPr>
        <w:t>本文系统在采集端考虑了若干边界情况，主要目的是避免边界输入导致接收端整体中断，并使异常能够被记录和展示。表 4-2 给出当前状态类型及其含义。</w:t>
      </w:r>
    </w:p>
    <w:p>
      <w:r>
        <w:rPr>
          <w:rFonts w:ascii="Times New Roman" w:hAnsi="Times New Roman" w:eastAsia="宋体"/>
          <w:b w:val="0"/>
          <w:sz w:val="21"/>
        </w:rPr>
        <w:br w:type="page"/>
      </w:r>
      <w:pPr>
        <w:spacing w:after="120" w:before="120"/>
        <w:ind/>
        <w:jc w:val="center"/>
      </w:pPr>
      <w:r>
        <w:rPr>
          <w:rFonts w:ascii="Times New Roman" w:hAnsi="Times New Roman" w:eastAsia="宋体"/>
          <w:b w:val="0"/>
          <w:color w:val="000000"/>
          <w:sz w:val="21"/>
        </w:rPr>
        <w:t>表 4-2 接收记录状态类型说明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339"/>
        <w:gridCol w:w="2339"/>
        <w:gridCol w:w="2339"/>
        <w:gridCol w:w="2339"/>
      </w:tblGrid>
      <w:tr>
        <w:trPr>
          <w:tblHeader w:val="true"/>
        </w:trPr>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状态</w:t>
            </w:r>
          </w:p>
        </w:tc>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中文展示</w:t>
            </w:r>
          </w:p>
        </w:tc>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含义</w:t>
            </w:r>
          </w:p>
        </w:tc>
        <w:tc>
          <w:tcPr>
            <w:tcW w:type="dxa" w:w="2339"/>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处理目的</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`Success`</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解析成功</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收到完整 44 字节报文并成功解析</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参与设备状态更新和数据留痕</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`PartialFrame`</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残缺报文</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连接关闭前收到不足 44 字节数据</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保留半包信息，便于定位输入异常</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`ParseError`</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解析失败</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报文长度正确但字段解析过程异常</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保留错误原因和原始报文</w:t>
            </w:r>
          </w:p>
        </w:tc>
      </w:tr>
      <w:tr>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`TransportError`</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连接异常</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连接处理过程中发生 IO 或 Socket 异常</w:t>
            </w:r>
          </w:p>
        </w:tc>
        <w:tc>
          <w:tcPr>
            <w:tcW w:type="dxa" w:w="2339"/>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避免连接异常中断接收服务</w:t>
            </w:r>
          </w:p>
        </w:tc>
      </w:tr>
      <w:tr>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`StorageError`</w:t>
            </w:r>
          </w:p>
        </w:tc>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存储异常</w:t>
            </w:r>
          </w:p>
        </w:tc>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记录写入 JSONL 时发生异常</w:t>
            </w:r>
          </w:p>
        </w:tc>
        <w:tc>
          <w:tcPr>
            <w:tcW w:type="dxa" w:w="2339"/>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将存储问题显式暴露给上层</w:t>
            </w:r>
          </w:p>
        </w:tc>
      </w:tr>
    </w:tbl>
    <w:p>
      <w:pPr>
        <w:spacing w:line="300" w:lineRule="auto" w:after="0" w:before="0"/>
        <w:ind w:firstLine="480"/>
        <w:jc w:val="left"/>
      </w:pPr>
      <w:r>
        <w:rPr>
          <w:rFonts w:ascii="Times New Roman" w:hAnsi="Times New Roman" w:eastAsia="宋体"/>
          <w:b w:val="0"/>
          <w:color w:val="000000"/>
          <w:sz w:val="24"/>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spacing w:line="300" w:lineRule="auto" w:after="0" w:before="0"/>
        <w:ind w:firstLine="480"/>
        <w:jc w:val="left"/>
      </w:pPr>
      <w:r>
        <w:rPr>
          <w:rFonts w:ascii="Times New Roman" w:hAnsi="Times New Roman" w:eastAsia="宋体"/>
          <w:b w:val="0"/>
          <w:color w:val="000000"/>
          <w:sz w:val="24"/>
        </w:rPr>
        <w:t xml:space="preserve">在当前定长协议下，只要报文长度正确，Int32 和 Float32 字段通常都可以被解析为某个数值，因此 </w:t>
      </w:r>
      <w:r>
        <w:rPr>
          <w:rFonts w:ascii="Times New Roman" w:hAnsi="Times New Roman" w:eastAsia="宋体"/>
          <w:b w:val="0"/>
          <w:color w:val="000000"/>
          <w:sz w:val="24"/>
        </w:rPr>
        <w:t>ParseError</w:t>
      </w:r>
      <w:r>
        <w:rPr>
          <w:rFonts w:ascii="Times New Roman" w:hAnsi="Times New Roman" w:eastAsia="宋体"/>
          <w:b w:val="0"/>
          <w:color w:val="000000"/>
          <w:sz w:val="24"/>
        </w:rPr>
        <w:t xml:space="preserve"> 的触发场景相对较少。该状态主要用于保留字段读取过程中的异常。对于 NaN、Infinity 或明显超出物理合理范围的数值，后续可扩展字段合法性校验状态，以进一步区分“格式可解析但数值异常”的输入。</w:t>
      </w:r>
    </w:p>
    <w:p>
      <w:pPr>
        <w:pStyle w:val="Heading2"/>
        <w:spacing w:before="120" w:after="120"/>
        <w:jc w:val="left"/>
      </w:pPr>
      <w:r>
        <w:rPr>
          <w:rFonts w:ascii="Times New Roman" w:hAnsi="Times New Roman" w:eastAsia="黑体"/>
          <w:b w:val="0"/>
          <w:sz w:val="30"/>
        </w:rPr>
        <w:t>4.6 数据落盘与 JSONL 记录结构</w:t>
      </w:r>
    </w:p>
    <w:p>
      <w:pPr>
        <w:spacing w:line="300" w:lineRule="auto" w:after="0" w:before="0"/>
        <w:ind w:firstLine="480"/>
        <w:jc w:val="left"/>
      </w:pPr>
      <w:r>
        <w:rPr>
          <w:rFonts w:ascii="Times New Roman" w:hAnsi="Times New Roman" w:eastAsia="宋体"/>
          <w:b w:val="0"/>
          <w:color w:val="000000"/>
          <w:sz w:val="24"/>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Times New Roman" w:hAnsi="Times New Roman" w:eastAsia="宋体"/>
          <w:b w:val="0"/>
          <w:color w:val="000000"/>
          <w:sz w:val="24"/>
        </w:rPr>
        <w:t>measurements-20260511.jsonl</w:t>
      </w:r>
      <w:r>
        <w:rPr>
          <w:rFonts w:ascii="Times New Roman" w:hAnsi="Times New Roman" w:eastAsia="宋体"/>
          <w:b w:val="0"/>
          <w:color w:val="000000"/>
          <w:sz w:val="24"/>
        </w:rPr>
        <w:t>。每收到一条记录后，系统将其序列化为一行 JSON 并追加到当天文件中。</w:t>
      </w:r>
    </w:p>
    <w:p>
      <w:pPr>
        <w:spacing w:line="300" w:lineRule="auto" w:after="0" w:before="0"/>
        <w:ind w:firstLine="480"/>
        <w:jc w:val="left"/>
      </w:pPr>
      <w:r>
        <w:rPr>
          <w:rFonts w:ascii="Times New Roman" w:hAnsi="Times New Roman" w:eastAsia="宋体"/>
          <w:b w:val="0"/>
          <w:color w:val="000000"/>
          <w:sz w:val="24"/>
        </w:rPr>
        <w:t>由于接收端支持多个客户端连接同时上报，文件追加过程需要避免并发写入造成行内容交错。存储模块在写入 JSONL 时使用串行化写入路径，通过写入门控对象保护文件追加过程，使同一时刻只有一条记录进入实际写文件操作。这样可以保证每条 JSON 记录独占一行，便于后续按行读取、统计和异常定位。</w:t>
      </w:r>
    </w:p>
    <w:p>
      <w:pPr>
        <w:spacing w:line="300" w:lineRule="auto" w:after="0" w:before="0"/>
        <w:ind w:firstLine="480"/>
        <w:jc w:val="left"/>
      </w:pPr>
      <w:r>
        <w:rPr>
          <w:rFonts w:ascii="Times New Roman" w:hAnsi="Times New Roman" w:eastAsia="宋体"/>
          <w:b w:val="0"/>
          <w:color w:val="000000"/>
          <w:sz w:val="24"/>
        </w:rPr>
        <w:t>对于后续 NILM 推理服务，采集层结构化记录在进入推理服务前需要转换为统一的时序输入格式。当上报数据包含三相功率时，可根据业务口径由 powerA、powerB 和 powerC 汇总得到总功率字段 mains_w；当输入数据来自单相模拟终端或公开数据集回放时，则可直接使用对应总功率字段。该转换属于采集记录到推理输入记录之间的适配过程，不改变 JSONL 中保留的原始解析字段。</w:t>
      </w:r>
    </w:p>
    <w:p>
      <w:pPr>
        <w:spacing w:line="300" w:lineRule="auto" w:after="0" w:before="0"/>
        <w:ind w:firstLine="480"/>
        <w:jc w:val="left"/>
      </w:pPr>
      <w:r>
        <w:rPr>
          <w:rFonts w:ascii="Times New Roman" w:hAnsi="Times New Roman" w:eastAsia="宋体"/>
          <w:b w:val="0"/>
          <w:color w:val="000000"/>
          <w:sz w:val="24"/>
        </w:rPr>
        <w:t>JSONL 记录的主要字段如表 4-3 所示。</w:t>
      </w:r>
    </w:p>
    <w:p>
      <w:r>
        <w:rPr>
          <w:rFonts w:ascii="Times New Roman" w:hAnsi="Times New Roman" w:eastAsia="宋体"/>
          <w:b w:val="0"/>
          <w:sz w:val="21"/>
        </w:rPr>
        <w:br w:type="page"/>
      </w:r>
      <w:pPr>
        <w:spacing w:after="120" w:before="120"/>
        <w:ind/>
        <w:jc w:val="center"/>
      </w:pPr>
      <w:r>
        <w:rPr>
          <w:rFonts w:ascii="Times New Roman" w:hAnsi="Times New Roman" w:eastAsia="宋体"/>
          <w:b w:val="0"/>
          <w:color w:val="000000"/>
          <w:sz w:val="21"/>
        </w:rPr>
        <w:t>表 4-3 JSONL 记录字段说明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3118"/>
        <w:gridCol w:w="3118"/>
        <w:gridCol w:w="3118"/>
      </w:tblGrid>
      <w:tr>
        <w:trPr>
          <w:tblHeader w:val="true"/>
        </w:trPr>
        <w:tc>
          <w:tcPr>
            <w:tcW w:type="dxa" w:w="3118"/>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字段</w:t>
            </w:r>
          </w:p>
        </w:tc>
        <w:tc>
          <w:tcPr>
            <w:tcW w:type="dxa" w:w="3118"/>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含义</w:t>
            </w:r>
          </w:p>
        </w:tc>
        <w:tc>
          <w:tcPr>
            <w:tcW w:type="dxa" w:w="3118"/>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用途</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`receivedAt`</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平台接收时间</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用于接收端时间排序和联调统计</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`remoteEndPoint`</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TCP 来源连接</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用于定位来源连接</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`deviceId`</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设备编号</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用于设备聚合</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`deviceName`</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设备名称</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用于界面展示和人工识别</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`reportTimeUtc`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终端上报时间</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用于构造量测时间序列</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`currentA`、`currentB`、`currentC`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三相电流</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保存解析后的电流字段</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`voltageA`、`voltageB`、`voltageC`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三相电压</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保存解析后的电压字段</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`powerA`、`powerB`、`powerC`</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三相功率</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保存解析后的功率字段</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`parseStatus`</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解析状态</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用于区分正常记录和异常记录</w:t>
            </w:r>
          </w:p>
        </w:tc>
      </w:tr>
      <w:tr>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`errorMessage`</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异常说明</w:t>
            </w:r>
          </w:p>
        </w:tc>
        <w:tc>
          <w:tcPr>
            <w:tcW w:type="dxa" w:w="3118"/>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用于异常定位</w:t>
            </w:r>
          </w:p>
        </w:tc>
      </w:tr>
      <w:tr>
        <w:tc>
          <w:tcPr>
            <w:tcW w:type="dxa" w:w="3118"/>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`rawHex`</w:t>
            </w:r>
          </w:p>
        </w:tc>
        <w:tc>
          <w:tcPr>
            <w:tcW w:type="dxa" w:w="3118"/>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原始报文十六进制</w:t>
            </w:r>
          </w:p>
        </w:tc>
        <w:tc>
          <w:tcPr>
            <w:tcW w:type="dxa" w:w="3118"/>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用于协议追溯和调试</w:t>
            </w:r>
          </w:p>
        </w:tc>
      </w:tr>
    </w:tbl>
    <w:p>
      <w:pPr>
        <w:spacing w:line="300" w:lineRule="auto" w:after="0" w:before="0"/>
        <w:ind w:firstLine="480"/>
        <w:jc w:val="left"/>
      </w:pPr>
      <w:r>
        <w:rPr>
          <w:rFonts w:ascii="Times New Roman" w:hAnsi="Times New Roman" w:eastAsia="宋体"/>
          <w:b w:val="0"/>
          <w:color w:val="000000"/>
          <w:sz w:val="24"/>
        </w:rPr>
        <w:t>以下为本章联调过程中抽取的一条 JSONL 记录片段。该记录来自模拟终端联调，用于说明落盘结构，不作为真实家庭用电数据。正文仅列出关键字段以避免长行影响版式，完整记录在系统运行日志中保存。</w:t>
      </w:r>
    </w:p>
    <w:p>
      <w:pPr>
        <w:spacing w:after="0" w:before="0" w:line="240" w:lineRule="auto"/>
        <w:ind w:left="480"/>
        <w:jc w:val="left"/>
      </w:pPr>
      <w:r>
        <w:rPr>
          <w:rFonts w:ascii="Consolas" w:hAnsi="Consolas" w:eastAsia="宋体"/>
          <w:b w:val="0"/>
          <w:color w:val="000000"/>
          <w:sz w:val="21"/>
        </w:rPr>
        <w:t>{</w:t>
      </w:r>
    </w:p>
    <w:p>
      <w:pPr>
        <w:spacing w:after="0" w:before="0" w:line="240" w:lineRule="auto"/>
        <w:ind w:left="480"/>
        <w:jc w:val="left"/>
      </w:pPr>
      <w:r>
        <w:rPr>
          <w:rFonts w:ascii="Consolas" w:hAnsi="Consolas" w:eastAsia="宋体"/>
          <w:b w:val="0"/>
          <w:color w:val="000000"/>
          <w:sz w:val="21"/>
        </w:rPr>
        <w:t xml:space="preserve">  "receivedAt": "2026-05-11T08:32:39.5847902Z",</w:t>
      </w:r>
    </w:p>
    <w:p>
      <w:pPr>
        <w:spacing w:after="0" w:before="0" w:line="240" w:lineRule="auto"/>
        <w:ind w:left="480"/>
        <w:jc w:val="left"/>
      </w:pPr>
      <w:r>
        <w:rPr>
          <w:rFonts w:ascii="Consolas" w:hAnsi="Consolas" w:eastAsia="宋体"/>
          <w:b w:val="0"/>
          <w:color w:val="000000"/>
          <w:sz w:val="21"/>
        </w:rPr>
        <w:t xml:space="preserve">  "deviceId": 3,</w:t>
      </w:r>
    </w:p>
    <w:p>
      <w:pPr>
        <w:spacing w:after="0" w:before="0" w:line="240" w:lineRule="auto"/>
        <w:ind w:left="480"/>
        <w:jc w:val="left"/>
      </w:pPr>
      <w:r>
        <w:rPr>
          <w:rFonts w:ascii="Consolas" w:hAnsi="Consolas" w:eastAsia="宋体"/>
          <w:b w:val="0"/>
          <w:color w:val="000000"/>
          <w:sz w:val="21"/>
        </w:rPr>
        <w:t xml:space="preserve">  "deviceName": "厨房回路",</w:t>
      </w:r>
    </w:p>
    <w:p>
      <w:pPr>
        <w:spacing w:after="0" w:before="0" w:line="240" w:lineRule="auto"/>
        <w:ind w:left="480"/>
        <w:jc w:val="left"/>
      </w:pPr>
      <w:r>
        <w:rPr>
          <w:rFonts w:ascii="Consolas" w:hAnsi="Consolas" w:eastAsia="宋体"/>
          <w:b w:val="0"/>
          <w:color w:val="000000"/>
          <w:sz w:val="21"/>
        </w:rPr>
        <w:t xml:space="preserve">  "reportTimeUtc": "2026-05-11T08:32:39Z",</w:t>
      </w:r>
    </w:p>
    <w:p>
      <w:pPr>
        <w:spacing w:after="0" w:before="0" w:line="240" w:lineRule="auto"/>
        <w:ind w:left="480"/>
        <w:jc w:val="left"/>
      </w:pPr>
      <w:r>
        <w:rPr>
          <w:rFonts w:ascii="Consolas" w:hAnsi="Consolas" w:eastAsia="宋体"/>
          <w:b w:val="0"/>
          <w:color w:val="000000"/>
          <w:sz w:val="21"/>
        </w:rPr>
        <w:t xml:space="preserve">  "powerA": 1343.5183,</w:t>
      </w:r>
    </w:p>
    <w:p>
      <w:pPr>
        <w:spacing w:after="0" w:before="0" w:line="240" w:lineRule="auto"/>
        <w:ind w:left="480"/>
        <w:jc w:val="left"/>
      </w:pPr>
      <w:r>
        <w:rPr>
          <w:rFonts w:ascii="Consolas" w:hAnsi="Consolas" w:eastAsia="宋体"/>
          <w:b w:val="0"/>
          <w:color w:val="000000"/>
          <w:sz w:val="21"/>
        </w:rPr>
        <w:t xml:space="preserve">  "powerB": 767.1592,</w:t>
      </w:r>
    </w:p>
    <w:p>
      <w:pPr>
        <w:spacing w:after="0" w:before="0" w:line="240" w:lineRule="auto"/>
        <w:ind w:left="480"/>
        <w:jc w:val="left"/>
      </w:pPr>
      <w:r>
        <w:rPr>
          <w:rFonts w:ascii="Consolas" w:hAnsi="Consolas" w:eastAsia="宋体"/>
          <w:b w:val="0"/>
          <w:color w:val="000000"/>
          <w:sz w:val="21"/>
        </w:rPr>
        <w:t xml:space="preserve">  "powerC": 513.34766,</w:t>
      </w:r>
    </w:p>
    <w:p>
      <w:pPr>
        <w:spacing w:after="0" w:before="0" w:line="240" w:lineRule="auto"/>
        <w:ind w:left="480"/>
        <w:jc w:val="left"/>
      </w:pPr>
      <w:r>
        <w:rPr>
          <w:rFonts w:ascii="Consolas" w:hAnsi="Consolas" w:eastAsia="宋体"/>
          <w:b w:val="0"/>
          <w:color w:val="000000"/>
          <w:sz w:val="21"/>
        </w:rPr>
        <w:t xml:space="preserve">  "parseStatus": "Success",</w:t>
      </w:r>
    </w:p>
    <w:p>
      <w:pPr>
        <w:spacing w:after="0" w:before="0" w:line="240" w:lineRule="auto"/>
        <w:ind w:left="480"/>
        <w:jc w:val="left"/>
      </w:pPr>
      <w:r>
        <w:rPr>
          <w:rFonts w:ascii="Consolas" w:hAnsi="Consolas" w:eastAsia="宋体"/>
          <w:b w:val="0"/>
          <w:color w:val="000000"/>
          <w:sz w:val="21"/>
        </w:rPr>
        <w:t xml:space="preserve">  "rawHex": "03 00 00 00 ..."</w:t>
      </w:r>
    </w:p>
    <w:p>
      <w:pPr>
        <w:spacing w:after="0" w:before="0" w:line="240" w:lineRule="auto"/>
        <w:ind w:left="480"/>
        <w:jc w:val="left"/>
      </w:pPr>
      <w:r>
        <w:rPr>
          <w:rFonts w:ascii="Consolas" w:hAnsi="Consolas" w:eastAsia="宋体"/>
          <w:b w:val="0"/>
          <w:color w:val="000000"/>
          <w:sz w:val="21"/>
        </w:rPr>
        <w:t>}</w:t>
      </w:r>
    </w:p>
    <w:p>
      <w:pPr>
        <w:spacing w:line="300" w:lineRule="auto" w:after="0" w:before="0"/>
        <w:ind w:firstLine="480"/>
        <w:jc w:val="left"/>
      </w:pPr>
      <w:r>
        <w:rPr>
          <w:rFonts w:ascii="Times New Roman" w:hAnsi="Times New Roman" w:eastAsia="宋体"/>
          <w:b w:val="0"/>
          <w:color w:val="000000"/>
          <w:sz w:val="24"/>
        </w:rPr>
        <w:t xml:space="preserve">从该记录可以看出，系统既保存了面向业务处理的结构化字段，也保存了原始报文 </w:t>
      </w:r>
      <w:r>
        <w:rPr>
          <w:rFonts w:ascii="Times New Roman" w:hAnsi="Times New Roman" w:eastAsia="宋体"/>
          <w:b w:val="0"/>
          <w:color w:val="000000"/>
          <w:sz w:val="24"/>
        </w:rPr>
        <w:t>rawHex</w:t>
      </w:r>
      <w:r>
        <w:rPr>
          <w:rFonts w:ascii="Times New Roman" w:hAnsi="Times New Roman" w:eastAsia="宋体"/>
          <w:b w:val="0"/>
          <w:color w:val="000000"/>
          <w:sz w:val="24"/>
        </w:rPr>
        <w:t>。这种设计使采集层输出不仅能被后续推理服务读取，也能被测试脚本和人工审查直接检查。对于毕业设计阶段的系统实现而言，这种轻量、可检查的留痕方式比直接引入复杂数据库更适合前期验证。</w:t>
      </w:r>
    </w:p>
    <w:p>
      <w:pPr>
        <w:spacing w:line="300" w:lineRule="auto" w:after="0" w:before="0"/>
        <w:ind w:firstLine="480"/>
        <w:jc w:val="left"/>
      </w:pPr>
      <w:r>
        <w:rPr>
          <w:rFonts w:ascii="Times New Roman" w:hAnsi="Times New Roman" w:eastAsia="宋体"/>
          <w:b w:val="0"/>
          <w:color w:val="000000"/>
          <w:sz w:val="24"/>
        </w:rPr>
        <w:t>设备详情页中的报文列表如图 4-5 所示。列表按接收时间展示单终端最近报文，包含接收时间、上报时间、解析状态、关键字段摘要和详情入口。该界面与 JSONL 落盘记录对应，便于在联调过程中直接检查某个设备的连续报文是否按预期解析。</w:t>
      </w:r>
    </w:p>
    <w:p>
      <w:pPr>
        <w:spacing w:after="60"/>
        <w:jc w:val="center"/>
      </w:pPr>
      <w:r>
        <w:drawing>
          <wp:inline xmlns:a="http://schemas.openxmlformats.org/drawingml/2006/main" xmlns:pic="http://schemas.openxmlformats.org/drawingml/2006/picture">
            <wp:extent cx="5688000" cy="3427622"/>
            <wp:docPr id="8" name="Picture 5"/>
            <wp:cNvGraphicFramePr>
              <a:graphicFrameLocks noChangeAspect="1"/>
            </wp:cNvGraphicFramePr>
            <a:graphic>
              <a:graphicData uri="http://schemas.openxmlformats.org/drawingml/2006/picture">
                <pic:pic>
                  <pic:nvPicPr>
                    <pic:cNvPr id="8" name="figure-4-5-terminal-report-list.png"/>
                    <pic:cNvPicPr/>
                  </pic:nvPicPr>
                  <pic:blipFill>
                    <a:blip r:embed="rId21"/>
                    <a:stretch>
                      <a:fillRect/>
                    </a:stretch>
                  </pic:blipFill>
                  <pic:spPr>
                    <a:xfrm>
                      <a:off x="0" y="0"/>
                      <a:ext cx="5688000" cy="3427622"/>
                    </a:xfrm>
                    <a:prstGeom prst="rect"/>
                  </pic:spPr>
                </pic:pic>
              </a:graphicData>
            </a:graphic>
          </wp:inline>
        </w:drawing>
      </w:r>
    </w:p>
    <w:p>
      <w:pPr>
        <w:spacing w:after="120" w:before="120"/>
        <w:jc w:val="center"/>
      </w:pPr>
      <w:r>
        <w:rPr>
          <w:rFonts w:ascii="Times New Roman" w:hAnsi="Times New Roman" w:eastAsia="宋体"/>
          <w:b w:val="0"/>
          <w:color w:val="000000"/>
          <w:sz w:val="21"/>
        </w:rPr>
        <w:t>图 4-5 单终端报文列表展示</w:t>
      </w:r>
    </w:p>
    <w:p>
      <w:pPr>
        <w:pStyle w:val="Heading2"/>
        <w:spacing w:before="120" w:after="120"/>
        <w:jc w:val="left"/>
      </w:pPr>
      <w:r>
        <w:rPr>
          <w:rFonts w:ascii="Times New Roman" w:hAnsi="Times New Roman" w:eastAsia="黑体"/>
          <w:b w:val="0"/>
          <w:sz w:val="30"/>
        </w:rPr>
        <w:t>4.7 模拟终端与接收端运行表现</w:t>
      </w:r>
    </w:p>
    <w:p>
      <w:pPr>
        <w:spacing w:line="300" w:lineRule="auto" w:after="0" w:before="0"/>
        <w:ind w:firstLine="480"/>
        <w:jc w:val="left"/>
      </w:pPr>
      <w:r>
        <w:rPr>
          <w:rFonts w:ascii="Times New Roman" w:hAnsi="Times New Roman" w:eastAsia="宋体"/>
          <w:b w:val="0"/>
          <w:color w:val="000000"/>
          <w:sz w:val="24"/>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after="0" w:before="0"/>
        <w:ind w:firstLine="480"/>
        <w:jc w:val="left"/>
      </w:pPr>
      <w:r>
        <w:rPr>
          <w:rFonts w:ascii="Times New Roman" w:hAnsi="Times New Roman" w:eastAsia="宋体"/>
          <w:b w:val="0"/>
          <w:color w:val="000000"/>
          <w:sz w:val="24"/>
        </w:rPr>
        <w:t>常规联调中，采集 App 监听 0.0.0.0:5000，模拟终端连接 127.0.0.1:5000，共启用 20 个设备。运行日志显示，20 个模拟终端均成功连接。联调过程中的 10 秒观察点显示，每个终端累计发送 10 条报文；本次统计窗口持续至约 15 秒，最终从落盘文件统计得到记录 320 条，其中成功解析记录 300 条，停止联调时产生连接异常记录 20 条。该组数据表示，在最终统计窗口内，每个设备平均形成约 15 条成功解析记录。该结果说明常规多设备联调下，接收、解析和落盘链路能够形成可检查记录。</w:t>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r>
        <w:rPr>
          <w:rFonts w:ascii="Times New Roman" w:hAnsi="Times New Roman" w:eastAsia="宋体"/>
          <w:b w:val="0"/>
          <w:color w:val="000000"/>
          <w:sz w:val="24"/>
        </w:rPr>
      </w:r>
    </w:p>
    <w:p>
      <w:pPr>
        <w:spacing w:line="300" w:lineRule="auto" w:after="0" w:before="0"/>
        <w:ind w:firstLine="480"/>
        <w:jc w:val="left"/>
      </w:pPr>
      <w:r>
        <w:rPr>
          <w:rFonts w:ascii="Times New Roman" w:hAnsi="Times New Roman" w:eastAsia="宋体"/>
          <w:b w:val="0"/>
          <w:color w:val="000000"/>
          <w:sz w:val="24"/>
        </w:rPr>
        <w:t xml:space="preserve">为了更直接体现接收端处理能力，本章补充了一次本机压力联调。压力发送脚本模拟 80 个连接，持续 20 秒，每个连接每 100 ms 发送一条 44 字节报文，理论输入速率约为 800 帧/秒。发送端实际发送 15920 条报文，连接错误为 0。接收端从落盘文件中统计得到 15920 条记录，其中成功解析记录 15920 条，状态分布为 </w:t>
      </w:r>
      <w:r>
        <w:rPr>
          <w:rFonts w:ascii="Times New Roman" w:hAnsi="Times New Roman" w:eastAsia="宋体"/>
          <w:b w:val="0"/>
          <w:color w:val="000000"/>
          <w:sz w:val="24"/>
        </w:rPr>
        <w:t>Success=15920</w:t>
      </w:r>
      <w:r>
        <w:rPr>
          <w:rFonts w:ascii="Times New Roman" w:hAnsi="Times New Roman" w:eastAsia="宋体"/>
          <w:b w:val="0"/>
          <w:color w:val="000000"/>
          <w:sz w:val="24"/>
        </w:rPr>
        <w:t>。压力联调结果如表 4-4 所示。</w:t>
      </w:r>
    </w:p>
    <w:p>
      <w:r>
        <w:rPr>
          <w:rFonts w:ascii="Times New Roman" w:hAnsi="Times New Roman" w:eastAsia="宋体"/>
          <w:b w:val="0"/>
          <w:sz w:val="21"/>
        </w:rPr>
        <w:br w:type="page"/>
      </w:r>
      <w:pPr>
        <w:spacing w:after="120" w:before="120"/>
        <w:ind/>
        <w:jc w:val="center"/>
      </w:pPr>
      <w:r>
        <w:rPr>
          <w:rFonts w:ascii="Times New Roman" w:hAnsi="Times New Roman" w:eastAsia="宋体"/>
          <w:b w:val="0"/>
          <w:color w:val="000000"/>
          <w:sz w:val="21"/>
        </w:rPr>
        <w:t>表 4-4 接收端压力联调结果</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677"/>
        <w:gridCol w:w="4677"/>
      </w:tblGrid>
      <w:tr>
        <w:trPr>
          <w:tblHeader w:val="true"/>
        </w:trPr>
        <w:tc>
          <w:tcPr>
            <w:tcW w:type="dxa" w:w="4677"/>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指标</w:t>
            </w:r>
          </w:p>
        </w:tc>
        <w:tc>
          <w:tcPr>
            <w:tcW w:type="dxa" w:w="4677"/>
            <w:vAlign w:val="center"/>
            <w:tcBorders>
              <w:top w:val="single" w:sz="12" w:space="0" w:color="000000"/>
              <w:left w:val="nil"/>
              <w:bottom w:val="single" w:sz="8" w:space="0" w:color="000000"/>
              <w:right w:val="nil"/>
              <w:insideH w:val="nil"/>
              <w:insideV w:val="nil"/>
            </w:tcBorders>
          </w:tcPr>
          <w:p>
            <w:pPr>
              <w:spacing w:after="0" w:line="240" w:lineRule="auto" w:before="0"/>
              <w:jc w:val="center"/>
            </w:pPr>
            <w:r>
              <w:rPr>
                <w:rFonts w:ascii="Times New Roman" w:hAnsi="Times New Roman" w:eastAsia="宋体"/>
                <w:b/>
                <w:sz w:val="21"/>
              </w:rPr>
            </w:r>
            <w:r>
              <w:rPr>
                <w:rFonts w:ascii="Times New Roman" w:hAnsi="Times New Roman" w:eastAsia="宋体"/>
                <w:b/>
                <w:color w:val="000000"/>
                <w:sz w:val="21"/>
              </w:rPr>
              <w:t>结果</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模拟连接数</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80</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持续时间</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20 秒</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单连接发送间隔</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100 ms</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理论输入速率</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约 800 帧/秒</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发送端实际发送</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15920 条报文</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发送端连接错误</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0</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接收端落盘记录</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15920 条</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成功解析记录</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15920 条</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本机联调成功解析比例</w:t>
            </w:r>
          </w:p>
        </w:tc>
        <w:tc>
          <w:tcPr>
            <w:tcW w:type="dxa" w:w="4677"/>
            <w:vAlign w:val="center"/>
            <w:tcBorders>
              <w:top w:val="nil"/>
              <w:left w:val="nil"/>
              <w:bottom w:val="nil"/>
              <w:right w:val="nil"/>
              <w:insideH w:val="nil"/>
              <w:insideV w:val="nil"/>
            </w:tcBorders>
          </w:tcPr>
          <w:p>
            <w:pPr>
              <w:spacing w:line="240" w:lineRule="auto" w:before="0" w:after="0"/>
              <w:jc w:val="center"/>
            </w:pPr>
            <w:r>
              <w:rPr>
                <w:rFonts w:ascii="Times New Roman" w:hAnsi="Times New Roman" w:eastAsia="宋体"/>
                <w:b w:val="0"/>
                <w:sz w:val="21"/>
              </w:rPr>
              <w:t>100%（15920/15920）</w:t>
            </w:r>
          </w:p>
        </w:tc>
      </w:tr>
      <w:tr>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按秒统计最高成功解析吞吐</w:t>
            </w:r>
          </w:p>
        </w:tc>
        <w:tc>
          <w:tcPr>
            <w:tcW w:type="dxa" w:w="4677"/>
            <w:vAlign w:val="center"/>
            <w:tcBorders>
              <w:top w:val="nil"/>
              <w:left w:val="nil"/>
              <w:bottom w:val="nil"/>
              <w:right w:val="nil"/>
              <w:insideH w:val="nil"/>
              <w:insideV w:val="nil"/>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约 800 帧/秒</w:t>
            </w:r>
          </w:p>
        </w:tc>
      </w:tr>
      <w:tr>
        <w:tc>
          <w:tcPr>
            <w:tcW w:type="dxa" w:w="4677"/>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单设备成功解析记录数范围</w:t>
            </w:r>
          </w:p>
        </w:tc>
        <w:tc>
          <w:tcPr>
            <w:tcW w:type="dxa" w:w="4677"/>
            <w:vAlign w:val="center"/>
            <w:tcBorders>
              <w:top w:val="nil"/>
              <w:left w:val="nil"/>
              <w:right w:val="nil"/>
              <w:insideH w:val="nil"/>
              <w:insideV w:val="nil"/>
              <w:bottom w:val="single" w:sz="12" w:space="0" w:color="000000"/>
            </w:tcBorders>
          </w:tcPr>
          <w:p>
            <w:pPr>
              <w:spacing w:after="0" w:line="240" w:lineRule="auto" w:before="0"/>
              <w:jc w:val="center"/>
            </w:pPr>
            <w:r>
              <w:rPr>
                <w:rFonts w:ascii="Times New Roman" w:hAnsi="Times New Roman" w:eastAsia="宋体"/>
                <w:b w:val="0"/>
                <w:sz w:val="21"/>
              </w:rPr>
            </w:r>
            <w:r>
              <w:rPr>
                <w:rFonts w:ascii="Times New Roman" w:hAnsi="Times New Roman" w:eastAsia="宋体"/>
                <w:b w:val="0"/>
                <w:color w:val="000000"/>
                <w:sz w:val="21"/>
              </w:rPr>
              <w:t>199-199</w:t>
            </w:r>
          </w:p>
        </w:tc>
      </w:tr>
    </w:tbl>
    <w:p>
      <w:pPr>
        <w:spacing w:line="300" w:lineRule="auto" w:after="0" w:before="0"/>
        <w:ind w:firstLine="480"/>
        <w:jc w:val="left"/>
      </w:pPr>
      <w:r>
        <w:rPr>
          <w:rFonts w:ascii="Times New Roman" w:hAnsi="Times New Roman" w:eastAsia="宋体"/>
          <w:b w:val="0"/>
          <w:color w:val="000000"/>
          <w:sz w:val="24"/>
        </w:rPr>
        <w:t>图 4-6 展示了压力联调期间接收端每秒成功解析报文数。可以看到，在主要压力输入阶段，接收端按秒统计的成功解析数量接近理论输入速率。开始和结束时的柱形较低，主要与压力脚本启动、连接建立和运行窗口截取有关。</w:t>
      </w:r>
    </w:p>
    <w:p>
      <w:pPr>
        <w:spacing w:after="60"/>
        <w:jc w:val="center"/>
      </w:pPr>
      <w:r>
        <w:drawing>
          <wp:inline xmlns:a="http://schemas.openxmlformats.org/drawingml/2006/main" xmlns:pic="http://schemas.openxmlformats.org/drawingml/2006/picture">
            <wp:extent cx="5688000" cy="2441862"/>
            <wp:docPr id="9" name="Picture 6"/>
            <wp:cNvGraphicFramePr>
              <a:graphicFrameLocks noChangeAspect="1"/>
            </wp:cNvGraphicFramePr>
            <a:graphic>
              <a:graphicData uri="http://schemas.openxmlformats.org/drawingml/2006/picture">
                <pic:pic>
                  <pic:nvPicPr>
                    <pic:cNvPr id="9" name="figure-4-receiver-throughput-per-second.png"/>
                    <pic:cNvPicPr/>
                  </pic:nvPicPr>
                  <pic:blipFill>
                    <a:blip r:embed="rId22"/>
                    <a:stretch>
                      <a:fillRect/>
                    </a:stretch>
                  </pic:blipFill>
                  <pic:spPr>
                    <a:xfrm>
                      <a:off x="0" y="0"/>
                      <a:ext cx="5688000" cy="2441862"/>
                    </a:xfrm>
                    <a:prstGeom prst="rect"/>
                  </pic:spPr>
                </pic:pic>
              </a:graphicData>
            </a:graphic>
          </wp:inline>
        </w:drawing>
      </w:r>
    </w:p>
    <w:p>
      <w:pPr>
        <w:spacing w:after="120" w:before="120"/>
        <w:jc w:val="center"/>
      </w:pPr>
      <w:r>
        <w:rPr>
          <w:rFonts w:ascii="Times New Roman" w:hAnsi="Times New Roman" w:eastAsia="宋体"/>
          <w:b w:val="0"/>
          <w:color w:val="000000"/>
          <w:sz w:val="21"/>
        </w:rPr>
        <w:t>图 4-6 接收端每秒成功解析吞吐图</w:t>
      </w:r>
    </w:p>
    <w:p>
      <w:pPr>
        <w:spacing w:line="300" w:lineRule="auto" w:after="0" w:before="0"/>
        <w:ind w:firstLine="480"/>
        <w:jc w:val="left"/>
      </w:pPr>
      <w:r>
        <w:rPr>
          <w:rFonts w:ascii="Times New Roman" w:hAnsi="Times New Roman" w:eastAsia="宋体"/>
          <w:b w:val="0"/>
          <w:color w:val="000000"/>
          <w:sz w:val="24"/>
        </w:rPr>
        <w:t>从落盘文件按设备编号统计，80 个模拟设备均成功解析 199 条记录，未出现设备维度上的接收数量不均衡。压力发送端发送量与接收端成功解析量也均为 15920 条，说明在本次本机模拟输入条件下，接收端对符合协议格式的定长报文实现了完整接收、解析和落盘。</w:t>
      </w:r>
    </w:p>
    <w:p>
      <w:pPr>
        <w:spacing w:line="300" w:lineRule="auto" w:after="0" w:before="0"/>
        <w:ind w:firstLine="480"/>
        <w:jc w:val="left"/>
      </w:pPr>
      <w:r>
        <w:rPr>
          <w:rFonts w:ascii="Times New Roman" w:hAnsi="Times New Roman" w:eastAsia="宋体"/>
          <w:b w:val="0"/>
          <w:color w:val="000000"/>
          <w:sz w:val="24"/>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接收端在本机模拟条件下具备基本并发接入和较高频率报文处理能力”的结论。</w:t>
      </w:r>
    </w:p>
    <w:p>
      <w:pPr>
        <w:pStyle w:val="Heading2"/>
        <w:spacing w:before="120" w:after="120"/>
        <w:jc w:val="left"/>
      </w:pPr>
      <w:r>
        <w:rPr>
          <w:rFonts w:ascii="Times New Roman" w:hAnsi="Times New Roman" w:eastAsia="黑体"/>
          <w:b w:val="0"/>
          <w:sz w:val="30"/>
        </w:rPr>
        <w:t>4.8 本章小结</w:t>
      </w:r>
    </w:p>
    <w:p>
      <w:pPr>
        <w:spacing w:line="300" w:lineRule="auto" w:after="0" w:before="0"/>
        <w:ind w:firstLine="480"/>
        <w:jc w:val="left"/>
      </w:pPr>
      <w:r>
        <w:rPr>
          <w:rFonts w:ascii="Times New Roman" w:hAnsi="Times New Roman" w:eastAsia="宋体"/>
          <w:b w:val="0"/>
          <w:color w:val="000000"/>
          <w:sz w:val="24"/>
        </w:rPr>
        <w:t>本章围绕数据采集与预处理模块，说明了采集层从 TCP 连接接入、固定长度报文读取、协议字段解析、设备状态聚合到 JSONL 持久化记录的实现过程。接收端通过 44 字节定长协议将二进制量测报文转换为结构化记录，并同时保留原始报文十六进制内容和解析状态，从而为后续推理服务和测试分析提供可追溯输入。</w:t>
      </w:r>
    </w:p>
    <w:p>
      <w:pPr>
        <w:spacing w:line="300" w:lineRule="auto" w:after="0" w:before="0"/>
        <w:ind w:firstLine="480"/>
        <w:jc w:val="left"/>
      </w:pPr>
      <w:r>
        <w:rPr>
          <w:rFonts w:ascii="Times New Roman" w:hAnsi="Times New Roman" w:eastAsia="宋体"/>
          <w:b w:val="0"/>
          <w:color w:val="000000"/>
          <w:sz w:val="24"/>
        </w:rPr>
        <w:t>在联调验证方面，本章使用模拟终端完成了常规多设备接入，并通过本机压力发送脚本观察接收端在多连接和较高频率模拟输入下的处理表现。压力联调结果显示，在 80 个模拟连接、约 800 帧/秒输入条件下，接收端成功解析并落盘 15920 条记录。该结果说明本文采集模块在毕业设计原型范围内具备数据接入、协议解析和持久化记录能力。下一章将在本章结构化采集记录基础上，进一步说明 NILM 推理服务模块如何加载模型包、执行离线推理和在线会话推理。</w:t>
      </w: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Zoha A, Gluhak A, Imran M A, et al. Non-intrusive load monitoring approaches for disaggregated energy sensing: A survey[J]. Sensors, 2012, 12(12): 16838-16866.</w:t>
      </w:r>
    </w:p>
    <w:p>
      <w:pPr>
        <w:spacing w:line="300" w:lineRule="auto" w:before="0" w:after="0"/>
      </w:pPr>
      <w:r>
        <w:rPr>
          <w:rFonts w:ascii="Times New Roman" w:hAnsi="Times New Roman" w:eastAsia="宋体"/>
          <w:color w:val="000000"/>
          <w:sz w:val="21"/>
        </w:rPr>
        <w:t>[4]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[5]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[6] Anderson K D, Berges M E, Ocneanu A, et al. Event detection for non intrusive load monitoring[C]//IECON 2012. IEEE, 2012: 3312-3317.</w:t>
      </w:r>
    </w:p>
    <w:p>
      <w:pPr>
        <w:spacing w:line="300" w:lineRule="auto" w:before="0" w:after="0"/>
      </w:pPr>
      <w:r>
        <w:rPr>
          <w:rFonts w:ascii="Times New Roman" w:hAnsi="Times New Roman" w:eastAsia="宋体"/>
          <w:color w:val="000000"/>
          <w:sz w:val="21"/>
        </w:rPr>
        <w:t>[7]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[8]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[9]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[10]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[11]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[12] 何勇, 王晓丽, 肖海飞, 等. 基于物联网的非侵入式用电器在线监测系统设计与实现[J]. 智能计算机与应用, 2021, 11(12): 158-165.</w:t>
      </w:r>
    </w:p>
    <w:p>
      <w:pPr>
        <w:spacing w:line="300" w:lineRule="auto" w:before="0" w:after="0"/>
      </w:pPr>
      <w:r>
        <w:rPr>
          <w:rFonts w:ascii="Times New Roman" w:hAnsi="Times New Roman" w:eastAsia="宋体"/>
          <w:color w:val="000000"/>
          <w:sz w:val="21"/>
        </w:rPr>
        <w:t>[13] 凌家源, 彭勇刚. 基于事件检测与 CNN 模型的非侵入式负荷识别方法及实现[J]. 电工电能新技术, 2021, 40(3): 46-54.</w:t>
      </w:r>
    </w:p>
    <w:p>
      <w:pPr>
        <w:spacing w:before="0" w:after="0" w:line="300" w:lineRule="auto"/>
      </w:pPr>
      <w:r>
        <w:t>[14] Eddy W. Transmission Control Protocol (TCP): RFC 9293[S/OL]. IETF, 2022. [2026-05-10]. https://www.rfc-editor.org/rfc/rfc9293.</w:t>
      </w:r>
    </w:p>
    <w:p>
      <w:pPr>
        <w:spacing w:before="0" w:after="0" w:line="300" w:lineRule="auto"/>
      </w:pPr>
      <w:r/>
      <w:r>
        <w:t>[15] JSON Lines. JSON Lines text file format[EB/OL]. [2026-05-10]. https://jsonlines.org/.</w:t>
      </w:r>
    </w:p>
    <w:p>
      <w:pPr>
        <w:spacing w:before="0" w:after="0" w:line="300" w:lineRule="auto"/>
      </w:pPr>
      <w:r/>
      <w:r>
        <w:t>[16] ONNX. Open Neural Network Exchange[EB/OL]. [2026-05-10]. https://onnx.ai/.</w:t>
      </w:r>
    </w:p>
    <w:p>
      <w:pPr>
        <w:spacing w:before="0" w:after="0" w:line="300" w:lineRule="auto"/>
      </w:pPr>
      <w:r/>
      <w:r>
        <w:t>[17] ONNX Runtime. ONNX Runtime documentation[EB/OL]. [2026-05-10]. https://onnxruntime.ai/docs.</w:t>
      </w:r>
    </w:p>
    <w:p>
      <w:pPr>
        <w:spacing w:before="0" w:after="0" w:line="300" w:lineRule="auto"/>
      </w:pPr>
      <w:r/>
      <w:r>
        <w:t>[18] FastAPI. FastAPI documentation[EB/OL]. [2026-05-10]. https://fastapi.tiangolo.com/.</w:t>
      </w:r>
    </w:p>
    <w:p>
      <w:pPr>
        <w:spacing w:before="0" w:after="0" w:line="300" w:lineRule="auto"/>
      </w:pPr>
      <w:r>
        <w:t>[19] Fielding R, Nottingham M, Reschke J. HTTP Semantics: RFC 9110[S/OL]. IETF, 2022. [2026-05-10]. https://www.rfc-editor.org/rfc/rfc9110.</w:t>
      </w:r>
    </w:p>
    <w:p>
      <w:pPr>
        <w:spacing w:before="0" w:after="0" w:line="300" w:lineRule="auto"/>
      </w:pPr>
      <w:r>
        <w:t>[20] OpenAPI Initiative. OpenAPI Specification v3.2.0[EB/OL]. 2025. [2026-05-10]. https://spec.openapis.org/oas/latest.html.</w:t>
      </w:r>
    </w:p>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