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color w:val="000000"/>
          <w:sz w:val="32"/>
        </w:rPr>
        <w:t>第4章 数据采集与预处理模块设计实现</w:t>
      </w:r>
    </w:p>
    <w:p>
      <w:pPr>
        <w:pStyle w:val="Heading2"/>
      </w:pPr>
      <w:r>
        <w:rPr>
          <w:rFonts w:ascii="Times New Roman" w:hAnsi="Times New Roman" w:eastAsia="黑体"/>
          <w:b/>
          <w:color w:val="000000"/>
          <w:sz w:val="28"/>
        </w:rPr>
        <w:t>4.1 本章目标与模块边界</w:t>
      </w:r>
    </w:p>
    <w:p>
      <w:pPr>
        <w:spacing w:line="300" w:lineRule="auto" w:after="0"/>
        <w:ind w:firstLine="420"/>
      </w:pPr>
      <w:r>
        <w:rPr>
          <w:rFonts w:ascii="Times New Roman" w:hAnsi="Times New Roman" w:eastAsia="宋体"/>
          <w:color w:val="000000"/>
          <w:sz w:val="21"/>
        </w:rPr>
        <w:t>第3章已经将系统划分为数据采集层、NILM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ind w:firstLine="420"/>
      </w:pPr>
      <w:r>
        <w:rPr>
          <w:rFonts w:ascii="Times New Roman" w:hAnsi="Times New Roman" w:eastAsia="宋体"/>
          <w:color w:val="000000"/>
          <w:sz w:val="21"/>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after="0"/>
        <w:ind w:firstLine="420"/>
      </w:pPr>
      <w:r>
        <w:rPr>
          <w:rFonts w:ascii="Times New Roman" w:hAnsi="Times New Roman" w:eastAsia="宋体"/>
          <w:color w:val="000000"/>
          <w:sz w:val="21"/>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pPr>
      <w:r>
        <w:rPr>
          <w:rFonts w:ascii="Times New Roman" w:hAnsi="Times New Roman" w:eastAsia="黑体"/>
          <w:b/>
          <w:color w:val="000000"/>
          <w:sz w:val="28"/>
        </w:rPr>
        <w:t>4.2 数据采集与预处理总体流程</w:t>
      </w:r>
    </w:p>
    <w:p>
      <w:pPr>
        <w:spacing w:line="300" w:lineRule="auto" w:after="0"/>
        <w:ind w:firstLine="420"/>
      </w:pPr>
      <w:r>
        <w:rPr>
          <w:rFonts w:ascii="Times New Roman" w:hAnsi="Times New Roman" w:eastAsia="宋体"/>
          <w:color w:val="000000"/>
          <w:sz w:val="21"/>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1782905"/>
            <wp:docPr id="1" name="Picture 1"/>
            <wp:cNvGraphicFramePr>
              <a:graphicFrameLocks noChangeAspect="1"/>
            </wp:cNvGraphicFramePr>
            <a:graphic>
              <a:graphicData uri="http://schemas.openxmlformats.org/drawingml/2006/picture">
                <pic:pic>
                  <pic:nvPicPr>
                    <pic:cNvPr id="0" name="figure-4-1-data-collection-flow.png"/>
                    <pic:cNvPicPr/>
                  </pic:nvPicPr>
                  <pic:blipFill>
                    <a:blip r:embed="rId9"/>
                    <a:stretch>
                      <a:fillRect/>
                    </a:stretch>
                  </pic:blipFill>
                  <pic:spPr>
                    <a:xfrm>
                      <a:off x="0" y="0"/>
                      <a:ext cx="5688000" cy="1782905"/>
                    </a:xfrm>
                    <a:prstGeom prst="rect"/>
                  </pic:spPr>
                </pic:pic>
              </a:graphicData>
            </a:graphic>
          </wp:inline>
        </w:drawing>
      </w:r>
    </w:p>
    <w:p>
      <w:pPr>
        <w:spacing w:after="120"/>
        <w:jc w:val="center"/>
      </w:pPr>
      <w:r>
        <w:rPr>
          <w:rFonts w:ascii="Times New Roman" w:hAnsi="Times New Roman" w:eastAsia="宋体"/>
          <w:color w:val="000000"/>
          <w:sz w:val="20"/>
        </w:rPr>
        <w:t>图4-1 数据采集与预处理流程图</w:t>
      </w:r>
    </w:p>
    <w:p>
      <w:pPr>
        <w:spacing w:line="300" w:lineRule="auto" w:after="0"/>
        <w:ind w:firstLine="420"/>
      </w:pPr>
      <w:r>
        <w:rPr>
          <w:rFonts w:ascii="Times New Roman" w:hAnsi="Times New Roman" w:eastAsia="宋体"/>
          <w:color w:val="000000"/>
          <w:sz w:val="21"/>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ind w:firstLine="420"/>
      </w:pPr>
      <w:r>
        <w:rPr>
          <w:rFonts w:ascii="Times New Roman" w:hAnsi="Times New Roman" w:eastAsia="宋体"/>
          <w:color w:val="000000"/>
          <w:sz w:val="21"/>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ind w:firstLine="420"/>
      </w:pPr>
      <w:r>
        <w:rPr>
          <w:rFonts w:ascii="Times New Roman" w:hAnsi="Times New Roman" w:eastAsia="宋体"/>
          <w:color w:val="000000"/>
          <w:sz w:val="21"/>
        </w:rPr>
        <w:t>采集后台运行总览如图4-2所示。在常规模拟联调过程中，系统显示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2" name="Picture 2"/>
            <wp:cNvGraphicFramePr>
              <a:graphicFrameLocks noChangeAspect="1"/>
            </wp:cNvGraphicFramePr>
            <a:graphic>
              <a:graphicData uri="http://schemas.openxmlformats.org/drawingml/2006/picture">
                <pic:pic>
                  <pic:nvPicPr>
                    <pic:cNvPr id="0" name="figure-4-3-collection-dashboard-overview.png"/>
                    <pic:cNvPicPr/>
                  </pic:nvPicPr>
                  <pic:blipFill>
                    <a:blip r:embed="rId10"/>
                    <a:stretch>
                      <a:fillRect/>
                    </a:stretch>
                  </pic:blipFill>
                  <pic:spPr>
                    <a:xfrm>
                      <a:off x="0" y="0"/>
                      <a:ext cx="5688000" cy="3625143"/>
                    </a:xfrm>
                    <a:prstGeom prst="rect"/>
                  </pic:spPr>
                </pic:pic>
              </a:graphicData>
            </a:graphic>
          </wp:inline>
        </w:drawing>
      </w:r>
    </w:p>
    <w:p>
      <w:pPr>
        <w:spacing w:after="120"/>
        <w:jc w:val="center"/>
      </w:pPr>
      <w:r>
        <w:rPr>
          <w:rFonts w:ascii="Times New Roman" w:hAnsi="Times New Roman" w:eastAsia="宋体"/>
          <w:color w:val="000000"/>
          <w:sz w:val="20"/>
        </w:rPr>
        <w:t>图4-2 数据采集后台运行总览</w:t>
      </w:r>
    </w:p>
    <w:p>
      <w:pPr>
        <w:pStyle w:val="Heading2"/>
      </w:pPr>
      <w:r>
        <w:rPr>
          <w:rFonts w:ascii="Times New Roman" w:hAnsi="Times New Roman" w:eastAsia="黑体"/>
          <w:b/>
          <w:color w:val="000000"/>
          <w:sz w:val="28"/>
        </w:rPr>
        <w:t>4.3 TCP 数据采集服务设计与实现</w:t>
      </w:r>
    </w:p>
    <w:p>
      <w:pPr>
        <w:spacing w:line="300" w:lineRule="auto" w:after="0"/>
        <w:ind w:firstLine="420"/>
      </w:pPr>
      <w:r>
        <w:rPr>
          <w:rFonts w:ascii="Times New Roman" w:hAnsi="Times New Roman" w:eastAsia="宋体"/>
          <w:color w:val="000000"/>
          <w:sz w:val="21"/>
        </w:rPr>
        <w:t xml:space="preserve">采集服务的核心实现位于 </w:t>
      </w:r>
      <w:r>
        <w:rPr>
          <w:rFonts w:ascii="Consolas" w:hAnsi="Consolas" w:eastAsia="宋体"/>
          <w:color w:val="000000"/>
          <w:sz w:val="20"/>
        </w:rPr>
        <w:t>TcpMeasurementServer</w:t>
      </w:r>
      <w:r>
        <w:rPr>
          <w:rFonts w:ascii="Times New Roman" w:hAnsi="Times New Roman" w:eastAsia="宋体"/>
          <w:color w:val="000000"/>
          <w:sz w:val="21"/>
        </w:rPr>
        <w:t xml:space="preserve">。服务启动时根据配置文件中的监听地址和端口创建 </w:t>
      </w:r>
      <w:r>
        <w:rPr>
          <w:rFonts w:ascii="Consolas" w:hAnsi="Consolas" w:eastAsia="宋体"/>
          <w:color w:val="000000"/>
          <w:sz w:val="20"/>
        </w:rPr>
        <w:t>TcpListener</w:t>
      </w:r>
      <w:r>
        <w:rPr>
          <w:rFonts w:ascii="Times New Roman" w:hAnsi="Times New Roman" w:eastAsia="宋体"/>
          <w:color w:val="000000"/>
          <w:sz w:val="21"/>
        </w:rPr>
        <w:t>，默认监听端口为 5000。当服务启动后，接收循环持续等待客户端连接。每当新的终端连接建立后，系统为该连接启动独立的异步处理流程，从而支持多个终端同时上报数据。</w:t>
      </w:r>
    </w:p>
    <w:p>
      <w:pPr>
        <w:spacing w:line="300" w:lineRule="auto" w:after="0"/>
        <w:ind w:firstLine="420"/>
      </w:pPr>
      <w:r>
        <w:rPr>
          <w:rFonts w:ascii="Times New Roman" w:hAnsi="Times New Roman" w:eastAsia="宋体"/>
          <w:color w:val="000000"/>
          <w:sz w:val="21"/>
        </w:rPr>
        <w:t>在连接处理过程中，接收端不会把任意一次 ReadAsync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ReadFrameAsync 方法按固定长度拼接完整帧，避免协议解析器处理长度不确定的数据。该方法的核心逻辑是维护固定长度帧缓冲区，将每次异步读取结果追加到缓冲区，当累计长度达到 44 字节时再交由协议解析器处理。</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ind w:firstLine="420"/>
      </w:pPr>
      <w:r>
        <w:rPr>
          <w:rFonts w:ascii="Times New Roman" w:hAnsi="Times New Roman" w:eastAsia="宋体"/>
          <w:color w:val="000000"/>
          <w:sz w:val="21"/>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pPr>
      <w:r>
        <w:rPr>
          <w:rFonts w:ascii="Times New Roman" w:hAnsi="Times New Roman" w:eastAsia="黑体"/>
          <w:b/>
          <w:color w:val="000000"/>
          <w:sz w:val="28"/>
        </w:rPr>
        <w:t>4.4 量测报文协议解析</w:t>
      </w:r>
    </w:p>
    <w:p>
      <w:pPr>
        <w:spacing w:line="300" w:lineRule="auto" w:after="0"/>
        <w:ind w:firstLine="420"/>
      </w:pPr>
      <w:r>
        <w:rPr>
          <w:rFonts w:ascii="Times New Roman" w:hAnsi="Times New Roman" w:eastAsia="宋体"/>
          <w:color w:val="000000"/>
          <w:sz w:val="21"/>
        </w:rPr>
        <w:t>当前量测上报协议采用 44 字节定长二进制结构，字节序为 little-endian。协议字段由 2 个 Int32 和 9 个 Float32 组成。偏移 0 至偏移 3 的 4 个字节为设备 ID，用于区分不同终端；偏移 4 至偏移 7 的 4 个字节为上报时间戳；后续字段依次表示三相电流、三相电压和三相功率。当前协议中的上报时间采用 Unix 秒级时间戳，解析后按 UTC 时间转换为 reportTimeUtc 字段；平台接收时间 receivedAt 表示采集端收到报文的时间。二者分别用于终端量测时间序列构造和接收端运行状态统计。协议字段结构如表4-1所示。</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表4-1 量测上报报文字段结构</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871"/>
        <w:gridCol w:w="1871"/>
        <w:gridCol w:w="1871"/>
        <w:gridCol w:w="1871"/>
        <w:gridCol w:w="1871"/>
      </w:tblGrid>
      <w:tr>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偏移</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长度</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类型</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说明</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 ID</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用于区分上报终端</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上报时间</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Unix 时间戳</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相功率</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相功率</w:t>
            </w:r>
          </w:p>
        </w:tc>
      </w:tr>
      <w:tr>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40</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功率 C</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C 相功率</w:t>
            </w:r>
          </w:p>
        </w:tc>
      </w:tr>
    </w:tbl>
    <w:p>
      <w:pPr>
        <w:spacing w:line="300" w:lineRule="auto" w:after="0"/>
        <w:ind w:firstLine="420"/>
      </w:pPr>
      <w:r>
        <w:rPr>
          <w:rFonts w:ascii="Times New Roman" w:hAnsi="Times New Roman" w:eastAsia="宋体"/>
          <w:color w:val="000000"/>
          <w:sz w:val="21"/>
        </w:rPr>
        <w:t>报文结构也可以表示为图4-3。该图用于直观展示 44 字节数据帧与字段偏移之间的对应关系，正文解析仍以表4-1为准。</w:t>
      </w:r>
    </w:p>
    <w:p>
      <w:pPr>
        <w:spacing w:after="60"/>
        <w:jc w:val="center"/>
      </w:pPr>
      <w:r>
        <w:drawing>
          <wp:inline xmlns:a="http://schemas.openxmlformats.org/drawingml/2006/main" xmlns:pic="http://schemas.openxmlformats.org/drawingml/2006/picture">
            <wp:extent cx="5688000" cy="1130370"/>
            <wp:docPr id="3" name="Picture 3"/>
            <wp:cNvGraphicFramePr>
              <a:graphicFrameLocks noChangeAspect="1"/>
            </wp:cNvGraphicFramePr>
            <a:graphic>
              <a:graphicData uri="http://schemas.openxmlformats.org/drawingml/2006/picture">
                <pic:pic>
                  <pic:nvPicPr>
                    <pic:cNvPr id="0" name="figure-4-4-packet-layout.png"/>
                    <pic:cNvPicPr/>
                  </pic:nvPicPr>
                  <pic:blipFill>
                    <a:blip r:embed="rId11"/>
                    <a:stretch>
                      <a:fillRect/>
                    </a:stretch>
                  </pic:blipFill>
                  <pic:spPr>
                    <a:xfrm>
                      <a:off x="0" y="0"/>
                      <a:ext cx="5688000" cy="1130370"/>
                    </a:xfrm>
                    <a:prstGeom prst="rect"/>
                  </pic:spPr>
                </pic:pic>
              </a:graphicData>
            </a:graphic>
          </wp:inline>
        </w:drawing>
      </w:r>
    </w:p>
    <w:p>
      <w:pPr>
        <w:spacing w:after="120"/>
        <w:jc w:val="center"/>
      </w:pPr>
      <w:r>
        <w:rPr>
          <w:rFonts w:ascii="Times New Roman" w:hAnsi="Times New Roman" w:eastAsia="宋体"/>
          <w:color w:val="000000"/>
          <w:sz w:val="20"/>
        </w:rPr>
        <w:t>图4-3 44字节量测报文结构示意图</w:t>
      </w:r>
    </w:p>
    <w:p>
      <w:pPr>
        <w:spacing w:line="300" w:lineRule="auto" w:after="0"/>
        <w:ind w:firstLine="420"/>
      </w:pPr>
      <w:r>
        <w:rPr>
          <w:rFonts w:ascii="Times New Roman" w:hAnsi="Times New Roman" w:eastAsia="宋体"/>
          <w:color w:val="000000"/>
          <w:sz w:val="21"/>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0"/>
        </w:rPr>
        <w:t>MeasurementRecord</w:t>
      </w:r>
      <w:r>
        <w:rPr>
          <w:rFonts w:ascii="Times New Roman" w:hAnsi="Times New Roman" w:eastAsia="宋体"/>
          <w:color w:val="000000"/>
          <w:sz w:val="21"/>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ind w:firstLine="420"/>
      </w:pPr>
      <w:r>
        <w:rPr>
          <w:rFonts w:ascii="Times New Roman" w:hAnsi="Times New Roman" w:eastAsia="宋体"/>
          <w:color w:val="000000"/>
          <w:sz w:val="21"/>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pPr>
      <w:r>
        <w:rPr>
          <w:rFonts w:ascii="Times New Roman" w:hAnsi="Times New Roman" w:eastAsia="黑体"/>
          <w:b/>
          <w:color w:val="000000"/>
          <w:sz w:val="28"/>
        </w:rPr>
        <w:t>4.5 设备状态聚合与边界情况处理设计</w:t>
      </w:r>
    </w:p>
    <w:p>
      <w:pPr>
        <w:spacing w:line="300" w:lineRule="auto" w:after="0"/>
        <w:ind w:firstLine="420"/>
      </w:pPr>
      <w:r>
        <w:rPr>
          <w:rFonts w:ascii="Times New Roman" w:hAnsi="Times New Roman" w:eastAsia="宋体"/>
          <w:color w:val="000000"/>
          <w:sz w:val="21"/>
        </w:rPr>
        <w:t xml:space="preserve">协议解析后的记录需要进一步按设备维度聚合。系统使用设备 ID 作为聚合键，并通过配置文件中的 </w:t>
      </w:r>
      <w:r>
        <w:rPr>
          <w:rFonts w:ascii="Consolas" w:hAnsi="Consolas" w:eastAsia="宋体"/>
          <w:color w:val="000000"/>
          <w:sz w:val="20"/>
        </w:rPr>
        <w:t>Devices</w:t>
      </w:r>
      <w:r>
        <w:rPr>
          <w:rFonts w:ascii="Times New Roman" w:hAnsi="Times New Roman" w:eastAsia="宋体"/>
          <w:color w:val="000000"/>
          <w:sz w:val="21"/>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ind w:firstLine="420"/>
      </w:pPr>
      <w:r>
        <w:rPr>
          <w:rFonts w:ascii="Times New Roman" w:hAnsi="Times New Roman" w:eastAsia="宋体"/>
          <w:color w:val="000000"/>
          <w:sz w:val="21"/>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ind w:firstLine="420"/>
      </w:pPr>
      <w:r>
        <w:rPr>
          <w:rFonts w:ascii="Times New Roman" w:hAnsi="Times New Roman" w:eastAsia="宋体"/>
          <w:color w:val="000000"/>
          <w:sz w:val="21"/>
        </w:rPr>
        <w:t>单终端状态聚合效果如图4-4所示。设备详情页显示设备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427622"/>
            <wp:docPr id="4" name="Picture 4"/>
            <wp:cNvGraphicFramePr>
              <a:graphicFrameLocks noChangeAspect="1"/>
            </wp:cNvGraphicFramePr>
            <a:graphic>
              <a:graphicData uri="http://schemas.openxmlformats.org/drawingml/2006/picture">
                <pic:pic>
                  <pic:nvPicPr>
                    <pic:cNvPr id="0" name="figure-4-4-terminal-realtime-trend.png"/>
                    <pic:cNvPicPr/>
                  </pic:nvPicPr>
                  <pic:blipFill>
                    <a:blip r:embed="rId12"/>
                    <a:stretch>
                      <a:fillRect/>
                    </a:stretch>
                  </pic:blipFill>
                  <pic:spPr>
                    <a:xfrm>
                      <a:off x="0" y="0"/>
                      <a:ext cx="5688000" cy="3427622"/>
                    </a:xfrm>
                    <a:prstGeom prst="rect"/>
                  </pic:spPr>
                </pic:pic>
              </a:graphicData>
            </a:graphic>
          </wp:inline>
        </w:drawing>
      </w:r>
    </w:p>
    <w:p>
      <w:pPr>
        <w:spacing w:after="120"/>
        <w:jc w:val="center"/>
      </w:pPr>
      <w:r>
        <w:rPr>
          <w:rFonts w:ascii="Times New Roman" w:hAnsi="Times New Roman" w:eastAsia="宋体"/>
          <w:color w:val="000000"/>
          <w:sz w:val="20"/>
        </w:rPr>
        <w:t>图4-4 单终端实时趋势展示</w:t>
      </w:r>
    </w:p>
    <w:p>
      <w:pPr>
        <w:spacing w:line="300" w:lineRule="auto" w:after="0"/>
        <w:ind w:firstLine="420"/>
      </w:pPr>
      <w:r>
        <w:rPr>
          <w:rFonts w:ascii="Times New Roman" w:hAnsi="Times New Roman" w:eastAsia="宋体"/>
          <w:color w:val="000000"/>
          <w:sz w:val="21"/>
        </w:rPr>
        <w:t>本文系统在采集端考虑了若干边界情况，主要目的是避免边界输入导致接收端整体中断，并使异常能够被记录和展示。表4-2给出当前状态类型及其含义。</w:t>
      </w:r>
    </w:p>
    <w:p>
      <w:pPr>
        <w:spacing w:line="300" w:lineRule="auto" w:after="0"/>
        <w:ind w:firstLine="420"/>
      </w:pPr>
      <w:r>
        <w:rPr>
          <w:rFonts w:ascii="Times New Roman" w:hAnsi="Times New Roman" w:eastAsia="宋体"/>
          <w:color w:val="000000"/>
          <w:sz w:val="21"/>
        </w:rPr>
        <w:t>表4-2 接收记录状态类型说明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339"/>
        <w:gridCol w:w="2339"/>
        <w:gridCol w:w="2339"/>
        <w:gridCol w:w="2339"/>
      </w:tblGrid>
      <w:tr>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状态</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中文展示</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处理目的</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`Success`</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解析成功</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收到完整 44 字节报文并成功解析</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参与设备状态更新和数据留痕</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`PartialFrame`</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残缺报文</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连接关闭前收到不足 44 字节数据</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保留半包信息，便于定位输入异常</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解析失败</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报文长度正确但字段解析过程异常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保留错误原因和原始报文</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`TransportError`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连接处理过程中发生 IO 或 Socket 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避免连接异常中断接收服务</w:t>
            </w:r>
          </w:p>
        </w:tc>
      </w:tr>
      <w:tr>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`StorageError`</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存储异常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记录写入 JSONL 时发生异常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将存储问题显式暴露给上层</w:t>
            </w:r>
          </w:p>
        </w:tc>
      </w:tr>
    </w:tbl>
    <w:p>
      <w:pPr>
        <w:spacing w:line="300" w:lineRule="auto" w:after="0"/>
        <w:ind w:firstLine="420"/>
      </w:pPr>
      <w:r>
        <w:rPr>
          <w:rFonts w:ascii="Times New Roman" w:hAnsi="Times New Roman" w:eastAsia="宋体"/>
          <w:color w:val="000000"/>
          <w:sz w:val="21"/>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ind w:firstLine="420"/>
      </w:pPr>
      <w:r>
        <w:rPr>
          <w:rFonts w:ascii="Times New Roman" w:hAnsi="Times New Roman" w:eastAsia="宋体"/>
          <w:color w:val="000000"/>
          <w:sz w:val="21"/>
        </w:rPr>
        <w:t xml:space="preserve">在当前定长协议下，只要报文长度正确，Int32 和 Float32 字段通常都可以被解析为某个数值，因此 </w:t>
      </w:r>
      <w:r>
        <w:rPr>
          <w:rFonts w:ascii="Consolas" w:hAnsi="Consolas" w:eastAsia="宋体"/>
          <w:color w:val="000000"/>
          <w:sz w:val="20"/>
        </w:rPr>
        <w:t>ParseError</w:t>
      </w:r>
      <w:r>
        <w:rPr>
          <w:rFonts w:ascii="Times New Roman" w:hAnsi="Times New Roman" w:eastAsia="宋体"/>
          <w:color w:val="000000"/>
          <w:sz w:val="21"/>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pPr>
      <w:r>
        <w:rPr>
          <w:rFonts w:ascii="Times New Roman" w:hAnsi="Times New Roman" w:eastAsia="黑体"/>
          <w:b/>
          <w:color w:val="000000"/>
          <w:sz w:val="28"/>
        </w:rPr>
        <w:t>4.6 数据落盘与 JSONL 记录结构</w:t>
      </w:r>
    </w:p>
    <w:p>
      <w:pPr>
        <w:spacing w:line="300" w:lineRule="auto" w:after="0"/>
        <w:ind w:firstLine="420"/>
      </w:pPr>
      <w:r>
        <w:rPr>
          <w:rFonts w:ascii="Times New Roman" w:hAnsi="Times New Roman" w:eastAsia="宋体"/>
          <w:color w:val="000000"/>
          <w:sz w:val="21"/>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0"/>
        </w:rPr>
        <w:t>measurements-20260511.jsonl</w:t>
      </w:r>
      <w:r>
        <w:rPr>
          <w:rFonts w:ascii="Times New Roman" w:hAnsi="Times New Roman" w:eastAsia="宋体"/>
          <w:color w:val="000000"/>
          <w:sz w:val="21"/>
        </w:rPr>
        <w:t>。每收到一条记录后，系统将其序列化为一行 JSON 并追加到当天文件中。</w:t>
      </w:r>
    </w:p>
    <w:p>
      <w:pPr>
        <w:spacing w:line="300" w:lineRule="auto" w:after="0"/>
        <w:ind w:firstLine="420"/>
      </w:pPr>
      <w:r>
        <w:rPr>
          <w:rFonts w:ascii="Times New Roman" w:hAnsi="Times New Roman" w:eastAsia="宋体"/>
          <w:color w:val="000000"/>
          <w:sz w:val="21"/>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ind w:firstLine="420"/>
      </w:pPr>
      <w:r>
        <w:rPr>
          <w:rFonts w:ascii="Times New Roman" w:hAnsi="Times New Roman" w:eastAsia="宋体"/>
          <w:color w:val="000000"/>
          <w:sz w:val="21"/>
        </w:rPr>
        <w:t>JSONL 记录的主要字段如表4-3所示。</w:t>
      </w:r>
    </w:p>
    <w:p>
      <w:pPr>
        <w:spacing w:line="300" w:lineRule="auto" w:after="0"/>
        <w:ind w:firstLine="420"/>
      </w:pPr>
      <w:r>
        <w:rPr>
          <w:rFonts w:ascii="Times New Roman" w:hAnsi="Times New Roman" w:eastAsia="宋体"/>
          <w:color w:val="000000"/>
          <w:sz w:val="21"/>
        </w:rPr>
        <w:t>表4-3 JSONL 记录字段说明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3118"/>
        <w:gridCol w:w="3118"/>
        <w:gridCol w:w="3118"/>
      </w:tblGrid>
      <w:tr>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用途</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`receivedAt`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平台接收时间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用于接收端时间排序和联调统计</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`remoteEndPoint`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TCP 来源连接</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用于定位来源连接</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`deviceId`</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设备编号</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用于设备聚合</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`deviceName`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设备名称</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用于界面展示和人工识别</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`reportTimeUtc`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终端上报时间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用于构造量测时间序列</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`currentA`、`currentB`、`currentC`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保存解析后的电流字段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`voltageA`、`voltageB`、`voltageC`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三相电压</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保存解析后的电压字段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`powerA`、`powerB`、`powerC`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三相功率</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保存解析后的功率字段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`parseStatus`</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解析状态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用于区分正常记录和异常记录</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`errorMessage`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异常说明</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用于异常定位</w:t>
            </w:r>
          </w:p>
        </w:tc>
      </w:tr>
      <w:tr>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`rawHex`</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原始报文十六进制</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用于协议追溯和调试</w:t>
            </w:r>
          </w:p>
        </w:tc>
      </w:tr>
    </w:tbl>
    <w:p>
      <w:pPr>
        <w:spacing w:line="300" w:lineRule="auto" w:after="0"/>
        <w:ind w:firstLine="420"/>
      </w:pPr>
      <w:r>
        <w:rPr>
          <w:rFonts w:ascii="Times New Roman" w:hAnsi="Times New Roman" w:eastAsia="宋体"/>
          <w:color w:val="000000"/>
          <w:sz w:val="21"/>
        </w:rPr>
        <w:t>以下为本章联调过程中抽取的一条 JSONL 记录片段。该记录来自模拟终端联调，用于说明落盘结构，不作为真实家庭用电数据。正文仅列出关键字段以避免长行影响版式，完整记录在系统运行日志中保存。</w:t>
      </w:r>
    </w:p>
    <w:p>
      <w:pPr>
        <w:spacing w:after="0"/>
        <w:ind w:left="283"/>
      </w:pPr>
      <w:r>
        <w:rPr>
          <w:rFonts w:ascii="Consolas" w:hAnsi="Consolas" w:eastAsia="宋体"/>
          <w:color w:val="000000"/>
          <w:sz w:val="17"/>
        </w:rPr>
        <w:t>{</w:t>
      </w:r>
    </w:p>
    <w:p>
      <w:pPr>
        <w:spacing w:after="0"/>
        <w:ind w:left="283"/>
      </w:pPr>
      <w:r>
        <w:rPr>
          <w:rFonts w:ascii="Consolas" w:hAnsi="Consolas" w:eastAsia="宋体"/>
          <w:color w:val="000000"/>
          <w:sz w:val="17"/>
        </w:rPr>
        <w:t xml:space="preserve">  "receivedAt": "2026-05-11T08:32:39.5847902Z",</w:t>
      </w:r>
    </w:p>
    <w:p>
      <w:pPr>
        <w:spacing w:after="0"/>
        <w:ind w:left="283"/>
      </w:pPr>
      <w:r>
        <w:rPr>
          <w:rFonts w:ascii="Consolas" w:hAnsi="Consolas" w:eastAsia="宋体"/>
          <w:color w:val="000000"/>
          <w:sz w:val="17"/>
        </w:rPr>
        <w:t xml:space="preserve">  "deviceId": 3,</w:t>
      </w:r>
    </w:p>
    <w:p>
      <w:pPr>
        <w:spacing w:after="0"/>
        <w:ind w:left="283"/>
      </w:pPr>
      <w:r>
        <w:rPr>
          <w:rFonts w:ascii="Consolas" w:hAnsi="Consolas" w:eastAsia="宋体"/>
          <w:color w:val="000000"/>
          <w:sz w:val="17"/>
        </w:rPr>
        <w:t xml:space="preserve">  "deviceName": "厨房回路",</w:t>
      </w:r>
    </w:p>
    <w:p>
      <w:pPr>
        <w:spacing w:after="0"/>
        <w:ind w:left="283"/>
      </w:pPr>
      <w:r>
        <w:rPr>
          <w:rFonts w:ascii="Consolas" w:hAnsi="Consolas" w:eastAsia="宋体"/>
          <w:color w:val="000000"/>
          <w:sz w:val="17"/>
        </w:rPr>
        <w:t xml:space="preserve">  "reportTimeUtc": "2026-05-11T08:32:39Z",</w:t>
      </w:r>
    </w:p>
    <w:p>
      <w:pPr>
        <w:spacing w:after="0"/>
        <w:ind w:left="283"/>
      </w:pPr>
      <w:r>
        <w:rPr>
          <w:rFonts w:ascii="Consolas" w:hAnsi="Consolas" w:eastAsia="宋体"/>
          <w:color w:val="000000"/>
          <w:sz w:val="17"/>
        </w:rPr>
        <w:t xml:space="preserve">  "powerA": 1343.5183,</w:t>
      </w:r>
    </w:p>
    <w:p>
      <w:pPr>
        <w:spacing w:after="0"/>
        <w:ind w:left="283"/>
      </w:pPr>
      <w:r>
        <w:rPr>
          <w:rFonts w:ascii="Consolas" w:hAnsi="Consolas" w:eastAsia="宋体"/>
          <w:color w:val="000000"/>
          <w:sz w:val="17"/>
        </w:rPr>
        <w:t xml:space="preserve">  "powerB": 767.1592,</w:t>
      </w:r>
    </w:p>
    <w:p>
      <w:pPr>
        <w:spacing w:after="0"/>
        <w:ind w:left="283"/>
      </w:pPr>
      <w:r>
        <w:rPr>
          <w:rFonts w:ascii="Consolas" w:hAnsi="Consolas" w:eastAsia="宋体"/>
          <w:color w:val="000000"/>
          <w:sz w:val="17"/>
        </w:rPr>
        <w:t xml:space="preserve">  "powerC": 513.34766,</w:t>
      </w:r>
    </w:p>
    <w:p>
      <w:pPr>
        <w:spacing w:after="0"/>
        <w:ind w:left="283"/>
      </w:pPr>
      <w:r>
        <w:rPr>
          <w:rFonts w:ascii="Consolas" w:hAnsi="Consolas" w:eastAsia="宋体"/>
          <w:color w:val="000000"/>
          <w:sz w:val="17"/>
        </w:rPr>
        <w:t xml:space="preserve">  "parseStatus": "Success",</w:t>
      </w:r>
    </w:p>
    <w:p>
      <w:pPr>
        <w:spacing w:after="0"/>
        <w:ind w:left="283"/>
      </w:pPr>
      <w:r>
        <w:rPr>
          <w:rFonts w:ascii="Consolas" w:hAnsi="Consolas" w:eastAsia="宋体"/>
          <w:color w:val="000000"/>
          <w:sz w:val="17"/>
        </w:rPr>
        <w:t xml:space="preserve">  "rawHex": "03 00 00 00 ..."</w:t>
      </w:r>
    </w:p>
    <w:p>
      <w:pPr>
        <w:spacing w:after="0"/>
        <w:ind w:left="283"/>
      </w:pPr>
      <w:r>
        <w:rPr>
          <w:rFonts w:ascii="Consolas" w:hAnsi="Consolas" w:eastAsia="宋体"/>
          <w:color w:val="000000"/>
          <w:sz w:val="17"/>
        </w:rPr>
        <w:t>}</w:t>
      </w:r>
    </w:p>
    <w:p>
      <w:pPr>
        <w:spacing w:line="300" w:lineRule="auto" w:after="0"/>
        <w:ind w:firstLine="420"/>
      </w:pPr>
      <w:r>
        <w:rPr>
          <w:rFonts w:ascii="Times New Roman" w:hAnsi="Times New Roman" w:eastAsia="宋体"/>
          <w:color w:val="000000"/>
          <w:sz w:val="21"/>
        </w:rPr>
        <w:t xml:space="preserve">从该记录可以看出，系统既保存了面向业务处理的结构化字段，也保存了原始报文 </w:t>
      </w:r>
      <w:r>
        <w:rPr>
          <w:rFonts w:ascii="Consolas" w:hAnsi="Consolas" w:eastAsia="宋体"/>
          <w:color w:val="000000"/>
          <w:sz w:val="20"/>
        </w:rPr>
        <w:t>rawHex</w:t>
      </w:r>
      <w:r>
        <w:rPr>
          <w:rFonts w:ascii="Times New Roman" w:hAnsi="Times New Roman" w:eastAsia="宋体"/>
          <w:color w:val="000000"/>
          <w:sz w:val="21"/>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ind w:firstLine="420"/>
      </w:pPr>
      <w:r>
        <w:rPr>
          <w:rFonts w:ascii="Times New Roman" w:hAnsi="Times New Roman" w:eastAsia="宋体"/>
          <w:color w:val="000000"/>
          <w:sz w:val="21"/>
        </w:rPr>
        <w:t>设备详情页中的报文列表如图4-5所示。列表按接收时间展示单终端最近报文，包含接收时间、上报时间、解析状态、关键字段摘要和详情入口。该界面与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427622"/>
            <wp:docPr id="5" name="Picture 5"/>
            <wp:cNvGraphicFramePr>
              <a:graphicFrameLocks noChangeAspect="1"/>
            </wp:cNvGraphicFramePr>
            <a:graphic>
              <a:graphicData uri="http://schemas.openxmlformats.org/drawingml/2006/picture">
                <pic:pic>
                  <pic:nvPicPr>
                    <pic:cNvPr id="0" name="figure-4-5-terminal-report-list.png"/>
                    <pic:cNvPicPr/>
                  </pic:nvPicPr>
                  <pic:blipFill>
                    <a:blip r:embed="rId13"/>
                    <a:stretch>
                      <a:fillRect/>
                    </a:stretch>
                  </pic:blipFill>
                  <pic:spPr>
                    <a:xfrm>
                      <a:off x="0" y="0"/>
                      <a:ext cx="5688000" cy="3427622"/>
                    </a:xfrm>
                    <a:prstGeom prst="rect"/>
                  </pic:spPr>
                </pic:pic>
              </a:graphicData>
            </a:graphic>
          </wp:inline>
        </w:drawing>
      </w:r>
    </w:p>
    <w:p>
      <w:pPr>
        <w:spacing w:after="120"/>
        <w:jc w:val="center"/>
      </w:pPr>
      <w:r>
        <w:rPr>
          <w:rFonts w:ascii="Times New Roman" w:hAnsi="Times New Roman" w:eastAsia="宋体"/>
          <w:color w:val="000000"/>
          <w:sz w:val="20"/>
        </w:rPr>
        <w:t>图4-5 单终端报文列表展示</w:t>
      </w:r>
    </w:p>
    <w:p>
      <w:pPr>
        <w:pStyle w:val="Heading2"/>
      </w:pPr>
      <w:r>
        <w:rPr>
          <w:rFonts w:ascii="Times New Roman" w:hAnsi="Times New Roman" w:eastAsia="黑体"/>
          <w:b/>
          <w:color w:val="000000"/>
          <w:sz w:val="28"/>
        </w:rPr>
        <w:t>4.7 模拟终端与接收端运行表现</w:t>
      </w:r>
    </w:p>
    <w:p>
      <w:pPr>
        <w:spacing w:line="300" w:lineRule="auto" w:after="0"/>
        <w:ind w:firstLine="420"/>
      </w:pPr>
      <w:r>
        <w:rPr>
          <w:rFonts w:ascii="Times New Roman" w:hAnsi="Times New Roman" w:eastAsia="宋体"/>
          <w:color w:val="000000"/>
          <w:sz w:val="21"/>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ind w:firstLine="420"/>
      </w:pPr>
      <w:r>
        <w:rPr>
          <w:rFonts w:ascii="Times New Roman" w:hAnsi="Times New Roman" w:eastAsia="宋体"/>
          <w:color w:val="000000"/>
          <w:sz w:val="21"/>
        </w:rPr>
        <w:t>常规联调中，采集 App 监听 0.0.0.0:5000，模拟终端连接 127.0.0.1:5000，共启用 20 个设备。运行日志显示，20 个模拟终端均成功连接。联调过程中的 10 秒观察点显示，每个终端累计发送 10 条报文；本次统计窗口持续至约 15 秒，最终从落盘文件统计得到记录 320 条，其中成功解析记录 300 条，停止联调时产生连接异常记录 20 条。该组数据表示，在最终统计窗口内，每个设备平均形成约 15 条成功解析记录。该结果说明常规多设备联调下，接收、解析和落盘链路能够形成可检查记录。</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Consolas" w:hAnsi="Consolas" w:eastAsia="宋体"/>
          <w:color w:val="000000"/>
          <w:sz w:val="20"/>
        </w:rPr>
        <w:t>Success=15920</w:t>
      </w:r>
      <w:r>
        <w:rPr>
          <w:rFonts w:ascii="Times New Roman" w:hAnsi="Times New Roman" w:eastAsia="宋体"/>
          <w:color w:val="000000"/>
          <w:sz w:val="21"/>
        </w:rPr>
        <w:t>。压力联调结果如表4-4所示。</w:t>
      </w:r>
    </w:p>
    <w:p>
      <w:pPr>
        <w:spacing w:line="300" w:lineRule="auto" w:after="0"/>
        <w:ind w:firstLine="420"/>
      </w:pPr>
      <w:r>
        <w:rPr>
          <w:rFonts w:ascii="Times New Roman" w:hAnsi="Times New Roman" w:eastAsia="宋体"/>
          <w:color w:val="000000"/>
          <w:sz w:val="21"/>
        </w:rPr>
        <w:t>表4-4 接收端压力联调结果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677"/>
        <w:gridCol w:w="4677"/>
      </w:tblGrid>
      <w:tr>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指标</w:t>
            </w:r>
          </w:p>
        </w:tc>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结果</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模拟连接数</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持续时间</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 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单连接发送间隔</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100 ms</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理论输入速率</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发送端实际发送</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条报文</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发送端连接错误</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接收端落盘记录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成功解析记录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本机联调成功解析比例</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15920/15920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按秒统计最高成功解析吞吐</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单设备成功解析记录数范围</w:t>
            </w:r>
          </w:p>
        </w:tc>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199-199</w:t>
            </w:r>
          </w:p>
        </w:tc>
      </w:tr>
    </w:tbl>
    <w:p>
      <w:pPr>
        <w:spacing w:line="300" w:lineRule="auto" w:after="0"/>
        <w:ind w:firstLine="420"/>
      </w:pPr>
      <w:r>
        <w:rPr>
          <w:rFonts w:ascii="Times New Roman" w:hAnsi="Times New Roman" w:eastAsia="宋体"/>
          <w:color w:val="000000"/>
          <w:sz w:val="21"/>
        </w:rPr>
        <w:t>图4-6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6" name="Picture 6"/>
            <wp:cNvGraphicFramePr>
              <a:graphicFrameLocks noChangeAspect="1"/>
            </wp:cNvGraphicFramePr>
            <a:graphic>
              <a:graphicData uri="http://schemas.openxmlformats.org/drawingml/2006/picture">
                <pic:pic>
                  <pic:nvPicPr>
                    <pic:cNvPr id="0" name="figure-4-receiver-throughput-per-second.png"/>
                    <pic:cNvPicPr/>
                  </pic:nvPicPr>
                  <pic:blipFill>
                    <a:blip r:embed="rId14"/>
                    <a:stretch>
                      <a:fillRect/>
                    </a:stretch>
                  </pic:blipFill>
                  <pic:spPr>
                    <a:xfrm>
                      <a:off x="0" y="0"/>
                      <a:ext cx="5688000" cy="2441862"/>
                    </a:xfrm>
                    <a:prstGeom prst="rect"/>
                  </pic:spPr>
                </pic:pic>
              </a:graphicData>
            </a:graphic>
          </wp:inline>
        </w:drawing>
      </w:r>
    </w:p>
    <w:p>
      <w:pPr>
        <w:spacing w:after="120"/>
        <w:jc w:val="center"/>
      </w:pPr>
      <w:r>
        <w:rPr>
          <w:rFonts w:ascii="Times New Roman" w:hAnsi="Times New Roman" w:eastAsia="宋体"/>
          <w:color w:val="000000"/>
          <w:sz w:val="20"/>
        </w:rPr>
        <w:t>图4-6 接收端每秒成功解析吞吐图</w:t>
      </w:r>
    </w:p>
    <w:p>
      <w:pPr>
        <w:spacing w:line="300" w:lineRule="auto" w:after="0"/>
        <w:ind w:firstLine="420"/>
      </w:pPr>
      <w:r>
        <w:rPr>
          <w:rFonts w:ascii="Times New Roman" w:hAnsi="Times New Roman" w:eastAsia="宋体"/>
          <w:color w:val="000000"/>
          <w:sz w:val="21"/>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ind w:firstLine="420"/>
      </w:pPr>
      <w:r>
        <w:rPr>
          <w:rFonts w:ascii="Times New Roman" w:hAnsi="Times New Roman" w:eastAsia="宋体"/>
          <w:color w:val="000000"/>
          <w:sz w:val="21"/>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pPr>
      <w:r>
        <w:rPr>
          <w:rFonts w:ascii="Times New Roman" w:hAnsi="Times New Roman" w:eastAsia="黑体"/>
          <w:b/>
          <w:color w:val="000000"/>
          <w:sz w:val="28"/>
        </w:rPr>
        <w:t>4.8 本章小结</w:t>
      </w:r>
    </w:p>
    <w:p>
      <w:pPr>
        <w:spacing w:line="300" w:lineRule="auto" w:after="0"/>
        <w:ind w:firstLine="420"/>
      </w:pPr>
      <w:r>
        <w:rPr>
          <w:rFonts w:ascii="Times New Roman" w:hAnsi="Times New Roman" w:eastAsia="宋体"/>
          <w:color w:val="000000"/>
          <w:sz w:val="21"/>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ind w:firstLine="420"/>
      </w:pPr>
      <w:r>
        <w:rPr>
          <w:rFonts w:ascii="Times New Roman" w:hAnsi="Times New Roman" w:eastAsia="宋体"/>
          <w:color w:val="000000"/>
          <w:sz w:val="21"/>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