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60" w:line="276" w:lineRule="auto"/>
        <w:jc w:val="center"/>
      </w:pPr>
      <w:r>
        <w:rPr>
          <w:b/>
          <w:bCs/>
          <w:color w:val="000000"/>
          <w:sz w:val="28"/>
          <w:szCs w:val="28"/>
        </w:rPr>
        <w:t xml:space="preserve">Quantum-Enhanced Neural Networks: A Controlled Benchmark of Hybrid Variational Quantum Circuits Against Classical Baselines Under Simulated NISQ Noise</w:t>
      </w:r>
    </w:p>
    <w:p>
      <w:pPr>
        <w:spacing w:after="20"/>
        <w:jc w:val="center"/>
      </w:pPr>
      <w:r>
        <w:rPr>
          <w:b/>
          <w:bCs/>
          <w:color w:val="000000"/>
          <w:sz w:val="22"/>
          <w:szCs w:val="22"/>
        </w:rPr>
        <w:t xml:space="preserve">Madhav Joshi</w:t>
      </w:r>
      <w:r>
        <w:rPr>
          <w:b/>
          <w:bCs/>
          <w:color w:val="000000"/>
          <w:sz w:val="22"/>
          <w:szCs w:val="22"/>
          <w:vertAlign w:val="superscript"/>
        </w:rPr>
        <w:t xml:space="preserve">1</w:t>
      </w:r>
    </w:p>
    <w:p>
      <w:pPr>
        <w:spacing w:after="0"/>
        <w:jc w:val="center"/>
      </w:pPr>
      <w:r>
        <w:rPr>
          <w:color w:val="000000"/>
          <w:sz w:val="18"/>
          <w:szCs w:val="18"/>
          <w:vertAlign w:val="superscript"/>
        </w:rPr>
        <w:t xml:space="preserve">1</w:t>
      </w:r>
      <w:r>
        <w:rPr>
          <w:color w:val="000000"/>
          <w:sz w:val="18"/>
          <w:szCs w:val="18"/>
        </w:rPr>
        <w:t xml:space="preserve">Department of CSE in Artificial Intelligence &amp; Machine Learning</w:t>
      </w:r>
    </w:p>
    <w:p>
      <w:pPr>
        <w:spacing w:after="0"/>
        <w:jc w:val="center"/>
      </w:pPr>
      <w:r>
        <w:rPr>
          <w:color w:val="000000"/>
          <w:sz w:val="18"/>
          <w:szCs w:val="18"/>
        </w:rPr>
        <w:t xml:space="preserve">Marwadi University, Rajkot, Gujarat, India</w:t>
      </w:r>
    </w:p>
    <w:p>
      <w:pPr>
        <w:spacing w:after="120"/>
        <w:jc w:val="center"/>
      </w:pPr>
      <w:r>
        <w:rPr>
          <w:i/>
          <w:iCs/>
          <w:color w:val="000000"/>
          <w:sz w:val="17"/>
          <w:szCs w:val="17"/>
        </w:rPr>
        <w:t xml:space="preserve">madhav.joshi132389@marwadiuniversity.ac.in</w:t>
      </w:r>
    </w:p>
    <w:p>
      <w:pPr>
        <w:spacing w:before="80" w:after="60"/>
        <w:ind w:firstLine="360"/>
        <w:jc w:val="both"/>
      </w:pPr>
      <w:r>
        <w:rPr>
          <w:b/>
          <w:bCs/>
          <w:i/>
          <w:iCs/>
          <w:color w:val="000000"/>
        </w:rPr>
        <w:t xml:space="preserve">Abstract—</w:t>
      </w:r>
      <w:r>
        <w:rPr>
          <w:color w:val="000000"/>
        </w:rPr>
        <w:t xml:space="preserve">Hybrid quantum-classical neural networks built on variational quantum circuits (VQCs) are a leading approach to machine learning on near-term quantum devices, yet reported advantages often rest on weak baselines, mismatched model sizes, or noiseless simulation. This paper presents a controlled benchmark of a Quantum-Enhanced Neural Network (QENN) that places a VQC between classical input and output layers. Two design questions are examined: whether trainable data encoding improves on fixed angle encoding, and whether noise-aware training improves robustness under simulated NISQ noise. QENN variants are compared with logistic regression, a support vector machine, and parameter-matched multilayer perceptrons on four binary classification tasks, using stratified five-fold cross-validation over five random seeds. Models are evaluated by accuracy, F1-score, AUC-ROC, training cost, gradient variance, and accuracy loss under depolarising noise. </w:t>
      </w:r>
      <w:r>
        <w:rPr>
          <w:color w:val="000000"/>
          <w:highlight w:val="yellow"/>
        </w:rPr>
        <w:t xml:space="preserve">[Insert main result after experiments: best QENN variant versus best classical baseline, with mean ± std, and the main finding on encoding and noise-aware training.]</w:t>
      </w:r>
      <w:r>
        <w:rPr>
          <w:color w:val="000000"/>
        </w:rPr>
        <w:t xml:space="preserve"> The study does not claim quantum advantage; it identifies the conditions under which a hybrid VQC is competitive with, or falls short of, well-tuned classical models, and releases all code and configurations for reproduction.</w:t>
      </w:r>
    </w:p>
    <w:p>
      <w:pPr>
        <w:spacing w:before="40" w:after="120"/>
        <w:ind w:firstLine="360"/>
        <w:jc w:val="both"/>
        <w:sectPr>
          <w:type w:val="continuous"/>
          <w:pgSz w:w="11906" w:h="16838"/>
          <w:pgMar w:top="1008" w:right="864" w:bottom="1008" w:left="864" w:header="708" w:footer="708" w:gutter="0"/>
          <w:cols w:space="720"/>
          <w:docGrid w:linePitch="360"/>
        </w:sectPr>
      </w:pPr>
      <w:r>
        <w:rPr>
          <w:b/>
          <w:bCs/>
          <w:i/>
          <w:iCs/>
          <w:color w:val="000000"/>
        </w:rPr>
        <w:t xml:space="preserve">Index Terms—</w:t>
      </w:r>
      <w:r>
        <w:rPr>
          <w:color w:val="000000"/>
        </w:rPr>
        <w:t xml:space="preserve">Quantum Machine Learning, Variational Quantum Circuits, Hybrid Quantum-Classical Neural Networks, NISQ Devices, Data Encoding, Noise-Aware Training, Benchmarking, Qiskit, PennyLane.</w:t>
      </w:r>
    </w:p>
    <w:p>
      <w:pPr>
        <w:keepNext/>
        <w:spacing w:before="200" w:after="80"/>
        <w:jc w:val="center"/>
      </w:pPr>
      <w:r>
        <w:rPr>
          <w:b/>
          <w:bCs/>
          <w:caps/>
          <w:color w:val="000000"/>
        </w:rPr>
        <w:t xml:space="preserve">I. Introduction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Modern deep learning demands rapidly growing computational resources, which has renewed interest in alternative computing paradigms. A quantum computer stores information in the amplitudes of an n-qubit state whose Hilbert space has dimension 2</w:t>
      </w:r>
      <w:r>
        <w:rPr>
          <w:color w:val="000000"/>
          <w:vertAlign w:val="superscript"/>
        </w:rPr>
        <w:t xml:space="preserve">n</w:t>
      </w:r>
      <w:r>
        <w:rPr>
          <w:color w:val="000000"/>
        </w:rPr>
        <w:t xml:space="preserve">, and it exploits superposition, entanglement, and interference. Present devices, however, are small and noisy—the Noisy Intermediate-Scale Quantum (NISQ) regime [1], [2]—so practical quantum machine learning (QML) [3] is largely limited to hybrid methods in which a short parameterised circuit is trained by a classical optimiser. A large state space is not, by itself, evidence of a learning advantage.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Variational quantum circuits (VQCs), also called parameterised quantum circuits, are the most widely studied building block of such hybrid models [4], [5]. A classical input is encoded into a quantum state, transformed by trainable rotations and entangling gates, and read out as expectation values that feed a classical layer. Circuit gradients can be obtained on hardware with the parameter-shift rule [6], [7]. Three issues dominate the practical picture: vanishing gradients (barren plateaus) as circuits grow [8], the strong dependence of model expressivity on the data-encoding scheme [9], [10], and hardware noise [2].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Claims of quantum benefit are also difficult to verify. A recent large-scale benchmarking study reported that, on the small datasets it examined, simple classical models generally outperformed the quantum classifiers tested [11], and related work shows that access to data can allow classical learners to rival quantum models [12]. Credible evidence therefore needs matched model sizes, tuned classical baselines, repeated runs, and explicit noise modelling.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This paper addresses that need with a Quantum-Enhanced Neural Network (QENN): a VQC sandwiched between classical input and output layers (Fig. 1). Four research questions guide the study. </w:t>
      </w:r>
      <w:r>
        <w:rPr>
          <w:b/>
          <w:bCs/>
          <w:color w:val="000000"/>
        </w:rPr>
        <w:t xml:space="preserve">RQ1:</w:t>
      </w:r>
      <w:r>
        <w:rPr>
          <w:color w:val="000000"/>
        </w:rPr>
        <w:t xml:space="preserve"> How does QENN compare with parameter-matched classical models on small classification tasks? </w:t>
      </w:r>
      <w:r>
        <w:rPr>
          <w:b/>
          <w:bCs/>
          <w:color w:val="000000"/>
        </w:rPr>
        <w:t xml:space="preserve">RQ2:</w:t>
      </w:r>
      <w:r>
        <w:rPr>
          <w:color w:val="000000"/>
        </w:rPr>
        <w:t xml:space="preserve"> Does trainable data encoding outperform fixed encoding? </w:t>
      </w:r>
      <w:r>
        <w:rPr>
          <w:b/>
          <w:bCs/>
          <w:color w:val="000000"/>
        </w:rPr>
        <w:t xml:space="preserve">RQ3:</w:t>
      </w:r>
      <w:r>
        <w:rPr>
          <w:color w:val="000000"/>
        </w:rPr>
        <w:t xml:space="preserve"> How do qubit count and circuit depth affect accuracy and trainability? </w:t>
      </w:r>
      <w:r>
        <w:rPr>
          <w:b/>
          <w:bCs/>
          <w:color w:val="000000"/>
        </w:rPr>
        <w:t xml:space="preserve">RQ4:</w:t>
      </w:r>
      <w:r>
        <w:rPr>
          <w:color w:val="000000"/>
        </w:rPr>
        <w:t xml:space="preserve"> Does noise-aware training improve robustness under simulated NISQ noise? The study makes three contributions: (1) an open-source hybrid QENN implementation with fixed and trainable encoding; (2) a protocol-controlled comparison against classical baselines; and (3) an evaluation of depth, width, and simulated-noise robustness. We do not claim quantum advantage; the aim is to map where a hybrid VQC is competitive and where it is not. </w:t>
      </w:r>
      <w:r>
        <w:rPr>
          <w:color w:val="000000"/>
          <w:highlight w:val="yellow"/>
        </w:rPr>
        <w:t xml:space="preserve">[Keep only the contributions you actually complete.]</w:t>
      </w:r>
    </w:p>
    <w:p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2606040" cy="2736668"/>
            <wp:effectExtent l="0" t="0" r="0" b="0"/>
            <wp:docPr id="11" name="fig11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273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both"/>
      </w:pPr>
      <w:r>
        <w:rPr>
          <w:i/>
          <w:iCs/>
          <w:color w:val="000000"/>
          <w:sz w:val="18"/>
          <w:szCs w:val="18"/>
        </w:rPr>
        <w:t xml:space="preserve">Fig. 1. QENN hybrid architecture. Classical layers (blue) surround a simulated quantum block (purple); a classical optimiser updates both quantum and classical parameters.</w:t>
      </w:r>
    </w:p>
    <w:p>
      <w:pPr>
        <w:keepNext/>
        <w:spacing w:before="200" w:after="80"/>
        <w:jc w:val="center"/>
      </w:pPr>
      <w:r>
        <w:rPr>
          <w:b/>
          <w:bCs/>
          <w:caps/>
          <w:color w:val="000000"/>
        </w:rPr>
        <w:t xml:space="preserve">II. Related Work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Havlíček et al. [13] mapped data into a quantum feature space and demonstrated a variational classifier and a kernel method on a superconducting processor, though on synthetic data. Schuld et al. [14] proposed circuit-centric classifiers built from low-depth trainable circuits, and Cong et al. [15] introduced quantum convolutional architectures whose parameter count grows only logarithmically with the number of qubits.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Pérez-Salinas et al. [10] showed that re-uploading the input at several points in a circuit allows even a single-qubit model to act as a universal classifier, and Schuld et al. [9] showed that the functions a model can represent are governed by its encoding. Abbas et al. [16] argued, using effective dimension, that suitably designed quantum neural networks can offer higher capacity and faster training; this result is specific to the models and datasets they studied. These findings motivate the trainable-encoding variant used here.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On trainability, McClean et al. [8] showed that gradient variance can vanish exponentially with qubit number for sufficiently random circuits. Hardware error is commonly handled by mitigation techniques such as zero-noise extrapolation [17]; training with injected noise, as studied here, is a lighter alternative that adds no extra circuit executions at inference.</w:t>
      </w:r>
    </w:p>
    <w:p>
      <w:pPr>
        <w:keepNext/>
        <w:spacing w:before="80" w:after="20"/>
        <w:jc w:val="center"/>
      </w:pPr>
      <w:r>
        <w:rPr>
          <w:b/>
          <w:bCs/>
          <w:caps/>
          <w:color w:val="000000"/>
          <w:sz w:val="18"/>
          <w:szCs w:val="18"/>
        </w:rPr>
        <w:t xml:space="preserve">TABLE I</w:t>
      </w:r>
    </w:p>
    <w:p>
      <w:pPr>
        <w:keepNext/>
        <w:spacing w:after="60"/>
        <w:jc w:val="center"/>
      </w:pPr>
      <w:r>
        <w:rPr>
          <w:i/>
          <w:iCs/>
          <w:color w:val="000000"/>
          <w:sz w:val="18"/>
          <w:szCs w:val="18"/>
        </w:rPr>
        <w:t xml:space="preserve">Representative Prior Work and Its Limitation for This Study</w:t>
      </w:r>
    </w:p>
    <w:tbl>
      <w:tblPr>
        <w:tblW w:w="4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800"/>
        <w:gridCol w:w="1810"/>
      </w:tblGrid>
      <w:tr>
        <w:trPr>
          <w:cantSplit/>
          <w:tblHeader/>
        </w:trPr>
        <w:tc>
          <w:tcPr>
            <w:tcW w:w="12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Work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Focus</w:t>
            </w:r>
          </w:p>
        </w:tc>
        <w:tc>
          <w:tcPr>
            <w:tcW w:w="181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Limitation here</w:t>
            </w:r>
          </w:p>
        </w:tc>
      </w:tr>
      <w:tr>
        <w:trPr>
          <w:cantSplit/>
        </w:trPr>
        <w:tc>
          <w:tcPr>
            <w:tcW w:w="12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Havlíček [13]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Quantum feature maps; hardware demo</w:t>
            </w:r>
          </w:p>
        </w:tc>
        <w:tc>
          <w:tcPr>
            <w:tcW w:w="181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Synthetic data; limited classical comparison</w:t>
            </w:r>
          </w:p>
        </w:tc>
      </w:tr>
      <w:tr>
        <w:trPr>
          <w:cantSplit/>
        </w:trPr>
        <w:tc>
          <w:tcPr>
            <w:tcW w:w="12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Pérez-Salinas [10]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Data re-uploading</w:t>
            </w:r>
          </w:p>
        </w:tc>
        <w:tc>
          <w:tcPr>
            <w:tcW w:w="181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Small tasks; noise not central</w:t>
            </w:r>
          </w:p>
        </w:tc>
      </w:tr>
      <w:tr>
        <w:trPr>
          <w:cantSplit/>
        </w:trPr>
        <w:tc>
          <w:tcPr>
            <w:tcW w:w="12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McClean [8]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Barren plateaus</w:t>
            </w:r>
          </w:p>
        </w:tc>
        <w:tc>
          <w:tcPr>
            <w:tcW w:w="181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Random-circuit theory; no end-to-end accuracy study</w:t>
            </w:r>
          </w:p>
        </w:tc>
      </w:tr>
      <w:tr>
        <w:trPr>
          <w:cantSplit/>
        </w:trPr>
        <w:tc>
          <w:tcPr>
            <w:tcW w:w="12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Bowles [11]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Benchmarking QML models</w:t>
            </w:r>
          </w:p>
        </w:tc>
        <w:tc>
          <w:tcPr>
            <w:tcW w:w="181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Noise-aware training not examined</w:t>
            </w:r>
          </w:p>
        </w:tc>
      </w:tr>
    </w:tbl>
    <w:p>
      <w:pPr>
        <w:spacing w:after="60"/>
      </w:pPr>
    </w:p>
    <w:p>
      <w:pPr>
        <w:spacing w:after="80"/>
        <w:ind w:firstLine="360"/>
        <w:jc w:val="both"/>
      </w:pPr>
      <w:r>
        <w:rPr>
          <w:color w:val="000000"/>
        </w:rPr>
        <w:t xml:space="preserve">Prior work usually examines encoding, trainability, noise, or baseline strength in isolation. This study evaluates them under one fixed protocol on shared tasks and seeds. This is a gap in our chosen experimental scope, not a claim that no related study exists.</w:t>
      </w:r>
    </w:p>
    <w:p>
      <w:pPr>
        <w:keepNext/>
        <w:spacing w:before="200" w:after="80"/>
        <w:jc w:val="center"/>
      </w:pPr>
      <w:r>
        <w:rPr>
          <w:b/>
          <w:bCs/>
          <w:caps/>
          <w:color w:val="000000"/>
        </w:rPr>
        <w:t xml:space="preserve">III. Methodology</w:t>
      </w:r>
    </w:p>
    <w:p>
      <w:pPr>
        <w:keepNext/>
        <w:spacing w:before="120" w:after="40"/>
      </w:pPr>
      <w:r>
        <w:rPr>
          <w:i/>
          <w:iCs/>
          <w:color w:val="000000"/>
        </w:rPr>
        <w:t xml:space="preserve">A. Problem Formulation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Let D = {(x</w:t>
      </w:r>
      <w:r>
        <w:rPr>
          <w:color w:val="000000"/>
          <w:vertAlign w:val="subscript"/>
        </w:rPr>
        <w:t xml:space="preserve">i</w:t>
      </w:r>
      <w:r>
        <w:rPr>
          <w:color w:val="000000"/>
        </w:rPr>
        <w:t xml:space="preserve">, y</w:t>
      </w:r>
      <w:r>
        <w:rPr>
          <w:color w:val="000000"/>
          <w:vertAlign w:val="subscript"/>
        </w:rPr>
        <w:t xml:space="preserve">i</w:t>
      </w:r>
      <w:r>
        <w:rPr>
          <w:color w:val="000000"/>
        </w:rPr>
        <w:t xml:space="preserve">)} for i = 1,…,N, with x</w:t>
      </w:r>
      <w:r>
        <w:rPr>
          <w:color w:val="000000"/>
          <w:vertAlign w:val="subscript"/>
        </w:rPr>
        <w:t xml:space="preserve">i</w:t>
      </w:r>
      <w:r>
        <w:rPr>
          <w:color w:val="000000"/>
        </w:rPr>
        <w:t xml:space="preserve"> ∈ R</w:t>
      </w:r>
      <w:r>
        <w:rPr>
          <w:color w:val="000000"/>
          <w:vertAlign w:val="superscript"/>
        </w:rPr>
        <w:t xml:space="preserve">d</w:t>
      </w:r>
      <w:r>
        <w:rPr>
          <w:color w:val="000000"/>
        </w:rPr>
        <w:t xml:space="preserve"> and y</w:t>
      </w:r>
      <w:r>
        <w:rPr>
          <w:color w:val="000000"/>
          <w:vertAlign w:val="subscript"/>
        </w:rPr>
        <w:t xml:space="preserve">i</w:t>
      </w:r>
      <w:r>
        <w:rPr>
          <w:color w:val="000000"/>
        </w:rPr>
        <w:t xml:space="preserve"> ∈ {0, 1}. A QENN is a function ŷ = h(x; Θ) with Θ = (θ, w, b, v, c): θ are circuit parameters, (w, b) are encoding parameters (frozen in the fixed variant), and (v, c) define the classical output layer. The task is to minimise the binary cross-entropy of Eq. (5) on training data and to maximise generalisation on held-out folds.</w:t>
      </w:r>
    </w:p>
    <w:p>
      <w:pPr>
        <w:keepNext/>
        <w:spacing w:before="120" w:after="40"/>
      </w:pPr>
      <w:r>
        <w:rPr>
          <w:i/>
          <w:iCs/>
          <w:color w:val="000000"/>
        </w:rPr>
        <w:t xml:space="preserve">B. Encoding and Variational Circuit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After pre-processing, each of the n = d features is scaled to [0, π] and assigned to one qubit. The input state is</w:t>
      </w:r>
    </w:p>
    <w:p>
      <w:pPr>
        <w:tabs>
          <w:tab w:val="center" w:pos="2380"/>
          <w:tab w:val="right" w:pos="4860"/>
        </w:tabs>
        <w:spacing w:before="40" w:after="60"/>
      </w:pPr>
      <w:r>
        <w:tab/>
      </w:r>
      <w:r>
        <w:rPr>
          <w:color w:val="000000"/>
        </w:rPr>
        <w:t xml:space="preserve">|ψ(x)⟩ = U</w:t>
      </w:r>
      <w:r>
        <w:rPr>
          <w:color w:val="000000"/>
          <w:vertAlign w:val="subscript"/>
        </w:rPr>
        <w:t xml:space="preserve">enc</w:t>
      </w:r>
      <w:r>
        <w:rPr>
          <w:color w:val="000000"/>
        </w:rPr>
        <w:t xml:space="preserve">(x) |0⟩</w:t>
      </w:r>
      <w:r>
        <w:rPr>
          <w:color w:val="000000"/>
          <w:vertAlign w:val="superscript"/>
        </w:rPr>
        <w:t xml:space="preserve">⊗n</w:t>
      </w:r>
      <w:r>
        <w:tab/>
      </w:r>
      <w:r>
        <w:rPr>
          <w:color w:val="000000"/>
        </w:rPr>
        <w:t xml:space="preserve">(1)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In the </w:t>
      </w:r>
      <w:r>
        <w:rPr>
          <w:b/>
          <w:bCs/>
          <w:color w:val="000000"/>
        </w:rPr>
        <w:t xml:space="preserve">fixed</w:t>
      </w:r>
      <w:r>
        <w:rPr>
          <w:color w:val="000000"/>
        </w:rPr>
        <w:t xml:space="preserve"> variant, U</w:t>
      </w:r>
      <w:r>
        <w:rPr>
          <w:color w:val="000000"/>
          <w:vertAlign w:val="subscript"/>
        </w:rPr>
        <w:t xml:space="preserve">enc</w:t>
      </w:r>
      <w:r>
        <w:rPr>
          <w:color w:val="000000"/>
        </w:rPr>
        <w:t xml:space="preserve">(x) applies R</w:t>
      </w:r>
      <w:r>
        <w:rPr>
          <w:color w:val="000000"/>
          <w:vertAlign w:val="subscript"/>
        </w:rPr>
        <w:t xml:space="preserve">y</w:t>
      </w:r>
      <w:r>
        <w:rPr>
          <w:color w:val="000000"/>
        </w:rPr>
        <w:t xml:space="preserve">(x</w:t>
      </w:r>
      <w:r>
        <w:rPr>
          <w:color w:val="000000"/>
          <w:vertAlign w:val="subscript"/>
        </w:rPr>
        <w:t xml:space="preserve">i</w:t>
      </w:r>
      <w:r>
        <w:rPr>
          <w:color w:val="000000"/>
        </w:rPr>
        <w:t xml:space="preserve">) to qubit i. In the </w:t>
      </w:r>
      <w:r>
        <w:rPr>
          <w:b/>
          <w:bCs/>
          <w:color w:val="000000"/>
        </w:rPr>
        <w:t xml:space="preserve">trainable</w:t>
      </w:r>
      <w:r>
        <w:rPr>
          <w:color w:val="000000"/>
        </w:rPr>
        <w:t xml:space="preserve"> variant, it applies R</w:t>
      </w:r>
      <w:r>
        <w:rPr>
          <w:color w:val="000000"/>
          <w:vertAlign w:val="subscript"/>
        </w:rPr>
        <w:t xml:space="preserve">y</w:t>
      </w:r>
      <w:r>
        <w:rPr>
          <w:color w:val="000000"/>
        </w:rPr>
        <w:t xml:space="preserve">(w</w:t>
      </w:r>
      <w:r>
        <w:rPr>
          <w:color w:val="000000"/>
          <w:vertAlign w:val="subscript"/>
        </w:rPr>
        <w:t xml:space="preserve">i</w:t>
      </w:r>
      <w:r>
        <w:rPr>
          <w:color w:val="000000"/>
        </w:rPr>
        <w:t xml:space="preserve">x</w:t>
      </w:r>
      <w:r>
        <w:rPr>
          <w:color w:val="000000"/>
          <w:vertAlign w:val="subscript"/>
        </w:rPr>
        <w:t xml:space="preserve">i</w:t>
      </w:r>
      <w:r>
        <w:rPr>
          <w:color w:val="000000"/>
        </w:rPr>
        <w:t xml:space="preserve"> + b</w:t>
      </w:r>
      <w:r>
        <w:rPr>
          <w:color w:val="000000"/>
          <w:vertAlign w:val="subscript"/>
        </w:rPr>
        <w:t xml:space="preserve">i</w:t>
      </w:r>
      <w:r>
        <w:rPr>
          <w:color w:val="000000"/>
        </w:rPr>
        <w:t xml:space="preserve">) with learned (w, b), and the encoding is repeated before every layer (data re-uploading [10]). The variational circuit applies L layers of R</w:t>
      </w:r>
      <w:r>
        <w:rPr>
          <w:color w:val="000000"/>
          <w:vertAlign w:val="subscript"/>
        </w:rPr>
        <w:t xml:space="preserve">y</w:t>
      </w:r>
      <w:r>
        <w:rPr>
          <w:color w:val="000000"/>
        </w:rPr>
        <w:t xml:space="preserve"> and R</w:t>
      </w:r>
      <w:r>
        <w:rPr>
          <w:color w:val="000000"/>
          <w:vertAlign w:val="subscript"/>
        </w:rPr>
        <w:t xml:space="preserve">z</w:t>
      </w:r>
      <w:r>
        <w:rPr>
          <w:color w:val="000000"/>
        </w:rPr>
        <w:t xml:space="preserve"> rotations followed by an entangling pattern W</w:t>
      </w:r>
      <w:r>
        <w:rPr>
          <w:color w:val="000000"/>
          <w:vertAlign w:val="subscript"/>
        </w:rPr>
        <w:t xml:space="preserve">ent</w:t>
      </w:r>
      <w:r>
        <w:rPr>
          <w:color w:val="000000"/>
        </w:rPr>
        <w:t xml:space="preserve"> (none, linear, circular, or all-to-all), with layer 1 applied first:</w:t>
      </w:r>
    </w:p>
    <w:p>
      <w:pPr>
        <w:tabs>
          <w:tab w:val="center" w:pos="2380"/>
          <w:tab w:val="right" w:pos="4860"/>
        </w:tabs>
        <w:spacing w:before="40" w:after="60"/>
      </w:pPr>
      <w:r>
        <w:tab/>
      </w:r>
      <w:r>
        <w:rPr>
          <w:color w:val="000000"/>
        </w:rPr>
        <w:t xml:space="preserve">U(θ) = ∏</w:t>
      </w:r>
      <w:r>
        <w:rPr>
          <w:color w:val="000000"/>
          <w:vertAlign w:val="subscript"/>
        </w:rPr>
        <w:t xml:space="preserve">l=1</w:t>
      </w:r>
      <w:r>
        <w:rPr>
          <w:color w:val="000000"/>
          <w:vertAlign w:val="superscript"/>
        </w:rPr>
        <w:t xml:space="preserve">L</w:t>
      </w:r>
      <w:r>
        <w:rPr>
          <w:color w:val="000000"/>
        </w:rPr>
        <w:t xml:space="preserve"> [ W</w:t>
      </w:r>
      <w:r>
        <w:rPr>
          <w:color w:val="000000"/>
          <w:vertAlign w:val="subscript"/>
        </w:rPr>
        <w:t xml:space="preserve">ent</w:t>
      </w:r>
      <w:r>
        <w:rPr>
          <w:color w:val="000000"/>
        </w:rPr>
        <w:t xml:space="preserve"> · ⊗</w:t>
      </w:r>
      <w:r>
        <w:rPr>
          <w:color w:val="000000"/>
          <w:vertAlign w:val="subscript"/>
        </w:rPr>
        <w:t xml:space="preserve">i=1</w:t>
      </w:r>
      <w:r>
        <w:rPr>
          <w:color w:val="000000"/>
          <w:vertAlign w:val="superscript"/>
        </w:rPr>
        <w:t xml:space="preserve">n</w:t>
      </w:r>
      <w:r>
        <w:rPr>
          <w:color w:val="000000"/>
        </w:rPr>
        <w:t xml:space="preserve"> R</w:t>
      </w:r>
      <w:r>
        <w:rPr>
          <w:color w:val="000000"/>
          <w:vertAlign w:val="subscript"/>
        </w:rPr>
        <w:t xml:space="preserve">z</w:t>
      </w:r>
      <w:r>
        <w:rPr>
          <w:color w:val="000000"/>
        </w:rPr>
        <w:t xml:space="preserve">(θ</w:t>
      </w:r>
      <w:r>
        <w:rPr>
          <w:color w:val="000000"/>
          <w:vertAlign w:val="subscript"/>
        </w:rPr>
        <w:t xml:space="preserve">l,i,2</w:t>
      </w:r>
      <w:r>
        <w:rPr>
          <w:color w:val="000000"/>
        </w:rPr>
        <w:t xml:space="preserve">) R</w:t>
      </w:r>
      <w:r>
        <w:rPr>
          <w:color w:val="000000"/>
          <w:vertAlign w:val="subscript"/>
        </w:rPr>
        <w:t xml:space="preserve">y</w:t>
      </w:r>
      <w:r>
        <w:rPr>
          <w:color w:val="000000"/>
        </w:rPr>
        <w:t xml:space="preserve">(θ</w:t>
      </w:r>
      <w:r>
        <w:rPr>
          <w:color w:val="000000"/>
          <w:vertAlign w:val="subscript"/>
        </w:rPr>
        <w:t xml:space="preserve">l,i,1</w:t>
      </w:r>
      <w:r>
        <w:rPr>
          <w:color w:val="000000"/>
        </w:rPr>
        <w:t xml:space="preserve">) ]</w:t>
      </w:r>
      <w:r>
        <w:tab/>
      </w:r>
      <w:r>
        <w:rPr>
          <w:color w:val="000000"/>
        </w:rPr>
        <w:t xml:space="preserve">(2)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which has 2nL trainable circuit parameters (Fig. 2). The outputs are Pauli-Z expectation values, fed to a sigmoid output layer and trained with cross-entropy:</w:t>
      </w:r>
    </w:p>
    <w:p>
      <w:pPr>
        <w:tabs>
          <w:tab w:val="center" w:pos="2380"/>
          <w:tab w:val="right" w:pos="4860"/>
        </w:tabs>
        <w:spacing w:before="40" w:after="60"/>
      </w:pPr>
      <w:r>
        <w:tab/>
      </w:r>
      <w:r>
        <w:rPr>
          <w:color w:val="000000"/>
        </w:rPr>
        <w:t xml:space="preserve">f</w:t>
      </w:r>
      <w:r>
        <w:rPr>
          <w:color w:val="000000"/>
          <w:vertAlign w:val="subscript"/>
        </w:rPr>
        <w:t xml:space="preserve">k</w:t>
      </w:r>
      <w:r>
        <w:rPr>
          <w:color w:val="000000"/>
        </w:rPr>
        <w:t xml:space="preserve">(x; θ) = ⟨ψ(x)| U†(θ) Z</w:t>
      </w:r>
      <w:r>
        <w:rPr>
          <w:color w:val="000000"/>
          <w:vertAlign w:val="subscript"/>
        </w:rPr>
        <w:t xml:space="preserve">k</w:t>
      </w:r>
      <w:r>
        <w:rPr>
          <w:color w:val="000000"/>
        </w:rPr>
        <w:t xml:space="preserve"> U(θ) |ψ(x)⟩ ∈ [−1, +1]</w:t>
      </w:r>
      <w:r>
        <w:tab/>
      </w:r>
      <w:r>
        <w:rPr>
          <w:color w:val="000000"/>
        </w:rPr>
        <w:t xml:space="preserve">(3)</w:t>
      </w:r>
    </w:p>
    <w:p>
      <w:pPr>
        <w:tabs>
          <w:tab w:val="center" w:pos="2380"/>
          <w:tab w:val="right" w:pos="4860"/>
        </w:tabs>
        <w:spacing w:before="40" w:after="60"/>
      </w:pPr>
      <w:r>
        <w:tab/>
      </w:r>
      <w:r>
        <w:rPr>
          <w:color w:val="000000"/>
        </w:rPr>
        <w:t xml:space="preserve">ŷ = σ(v · f + c)</w:t>
      </w:r>
      <w:r>
        <w:tab/>
      </w:r>
      <w:r>
        <w:rPr>
          <w:color w:val="000000"/>
        </w:rPr>
        <w:t xml:space="preserve">(4)</w:t>
      </w:r>
    </w:p>
    <w:p>
      <w:pPr>
        <w:tabs>
          <w:tab w:val="center" w:pos="2380"/>
          <w:tab w:val="right" w:pos="4860"/>
        </w:tabs>
        <w:spacing w:before="40" w:after="60"/>
      </w:pPr>
      <w:r>
        <w:tab/>
      </w:r>
      <w:r>
        <w:rPr>
          <w:color w:val="000000"/>
        </w:rPr>
        <w:t xml:space="preserve">J(Θ) = −(1/N) Σ</w:t>
      </w:r>
      <w:r>
        <w:rPr>
          <w:color w:val="000000"/>
          <w:vertAlign w:val="subscript"/>
        </w:rPr>
        <w:t xml:space="preserve">i</w:t>
      </w:r>
      <w:r>
        <w:rPr>
          <w:color w:val="000000"/>
        </w:rPr>
        <w:t xml:space="preserve"> [ y</w:t>
      </w:r>
      <w:r>
        <w:rPr>
          <w:color w:val="000000"/>
          <w:vertAlign w:val="subscript"/>
        </w:rPr>
        <w:t xml:space="preserve">i</w:t>
      </w:r>
      <w:r>
        <w:rPr>
          <w:color w:val="000000"/>
        </w:rPr>
        <w:t xml:space="preserve"> log ŷ</w:t>
      </w:r>
      <w:r>
        <w:rPr>
          <w:color w:val="000000"/>
          <w:vertAlign w:val="subscript"/>
        </w:rPr>
        <w:t xml:space="preserve">i</w:t>
      </w:r>
      <w:r>
        <w:rPr>
          <w:color w:val="000000"/>
        </w:rPr>
        <w:t xml:space="preserve"> + (1 − y</w:t>
      </w:r>
      <w:r>
        <w:rPr>
          <w:color w:val="000000"/>
          <w:vertAlign w:val="subscript"/>
        </w:rPr>
        <w:t xml:space="preserve">i</w:t>
      </w:r>
      <w:r>
        <w:rPr>
          <w:color w:val="000000"/>
        </w:rPr>
        <w:t xml:space="preserve">) log(1 − ŷ</w:t>
      </w:r>
      <w:r>
        <w:rPr>
          <w:color w:val="000000"/>
          <w:vertAlign w:val="subscript"/>
        </w:rPr>
        <w:t xml:space="preserve">i</w:t>
      </w:r>
      <w:r>
        <w:rPr>
          <w:color w:val="000000"/>
        </w:rPr>
        <w:t xml:space="preserve">) ]</w:t>
      </w:r>
      <w:r>
        <w:tab/>
      </w:r>
      <w:r>
        <w:rPr>
          <w:color w:val="000000"/>
        </w:rPr>
        <w:t xml:space="preserve">(5)</w:t>
      </w:r>
    </w:p>
    <w:p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3017520" cy="1711041"/>
            <wp:effectExtent l="0" t="0" r="0" b="0"/>
            <wp:docPr id="12" name="fig12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71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both"/>
      </w:pPr>
      <w:r>
        <w:rPr>
          <w:i/>
          <w:iCs/>
          <w:color w:val="000000"/>
          <w:sz w:val="18"/>
          <w:szCs w:val="18"/>
        </w:rPr>
        <w:t xml:space="preserve">Fig. 2. One QENN circuit for n = 4 qubits with linear entanglement. The bracketed block is repeated L times.</w:t>
      </w:r>
    </w:p>
    <w:p>
      <w:pPr>
        <w:keepNext/>
        <w:spacing w:before="120" w:after="40"/>
      </w:pPr>
      <w:r>
        <w:rPr>
          <w:i/>
          <w:iCs/>
          <w:color w:val="000000"/>
        </w:rPr>
        <w:t xml:space="preserve">C. Gradients and Optimisation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Circuit gradients use the parameter-shift rule, which is exact for these rotation gates and compatible with hardware:</w:t>
      </w:r>
    </w:p>
    <w:p>
      <w:pPr>
        <w:tabs>
          <w:tab w:val="center" w:pos="2380"/>
          <w:tab w:val="right" w:pos="4860"/>
        </w:tabs>
        <w:spacing w:before="40" w:after="60"/>
      </w:pPr>
      <w:r>
        <w:tab/>
      </w:r>
      <w:r>
        <w:rPr>
          <w:color w:val="000000"/>
        </w:rPr>
        <w:t xml:space="preserve">∂f</w:t>
      </w:r>
      <w:r>
        <w:rPr>
          <w:color w:val="000000"/>
          <w:vertAlign w:val="subscript"/>
        </w:rPr>
        <w:t xml:space="preserve">k</w:t>
      </w:r>
      <w:r>
        <w:rPr>
          <w:color w:val="000000"/>
        </w:rPr>
        <w:t xml:space="preserve">/∂θ</w:t>
      </w:r>
      <w:r>
        <w:rPr>
          <w:color w:val="000000"/>
          <w:vertAlign w:val="subscript"/>
        </w:rPr>
        <w:t xml:space="preserve">j</w:t>
      </w:r>
      <w:r>
        <w:rPr>
          <w:color w:val="000000"/>
        </w:rPr>
        <w:t xml:space="preserve"> = ½ [ f</w:t>
      </w:r>
      <w:r>
        <w:rPr>
          <w:color w:val="000000"/>
          <w:vertAlign w:val="subscript"/>
        </w:rPr>
        <w:t xml:space="preserve">k</w:t>
      </w:r>
      <w:r>
        <w:rPr>
          <w:color w:val="000000"/>
        </w:rPr>
        <w:t xml:space="preserve">(θ + (π/2)e</w:t>
      </w:r>
      <w:r>
        <w:rPr>
          <w:color w:val="000000"/>
          <w:vertAlign w:val="subscript"/>
        </w:rPr>
        <w:t xml:space="preserve">j</w:t>
      </w:r>
      <w:r>
        <w:rPr>
          <w:color w:val="000000"/>
        </w:rPr>
        <w:t xml:space="preserve">) − f</w:t>
      </w:r>
      <w:r>
        <w:rPr>
          <w:color w:val="000000"/>
          <w:vertAlign w:val="subscript"/>
        </w:rPr>
        <w:t xml:space="preserve">k</w:t>
      </w:r>
      <w:r>
        <w:rPr>
          <w:color w:val="000000"/>
        </w:rPr>
        <w:t xml:space="preserve">(θ − (π/2)e</w:t>
      </w:r>
      <w:r>
        <w:rPr>
          <w:color w:val="000000"/>
          <w:vertAlign w:val="subscript"/>
        </w:rPr>
        <w:t xml:space="preserve">j</w:t>
      </w:r>
      <w:r>
        <w:rPr>
          <w:color w:val="000000"/>
        </w:rPr>
        <w:t xml:space="preserve">) ]</w:t>
      </w:r>
      <w:r>
        <w:tab/>
      </w:r>
      <w:r>
        <w:rPr>
          <w:color w:val="000000"/>
        </w:rPr>
        <w:t xml:space="preserve">(6)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It needs two circuit evaluations per parameter per sample, i.e. 4nL per sample for the circuit. For speed, bulk simulator runs use backpropagation, and agreement with parameter-shift is verified on a subset. Classical parameters use backpropagation. The default optimiser is Adam [18]; SPSA [19] is evaluated as a hardware-friendly alternative.</w:t>
      </w:r>
    </w:p>
    <w:p>
      <w:pPr>
        <w:keepNext/>
        <w:spacing w:before="120" w:after="40"/>
      </w:pPr>
      <w:r>
        <w:rPr>
          <w:i/>
          <w:iCs/>
          <w:color w:val="000000"/>
        </w:rPr>
        <w:t xml:space="preserve">D. Noise Model and Noise-Aware Training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Noise is simulated with a depolarising channel after every gate, E</w:t>
      </w:r>
      <w:r>
        <w:rPr>
          <w:color w:val="000000"/>
          <w:vertAlign w:val="subscript"/>
        </w:rPr>
        <w:t xml:space="preserve">p</w:t>
      </w:r>
      <w:r>
        <w:rPr>
          <w:color w:val="000000"/>
        </w:rPr>
        <w:t xml:space="preserve">(ρ) = (1 − p)ρ + (p/3)(XρX + YρY + ZρZ) for single-qubit gates, with an analogous two-qubit channel after CNOT gates; measurements use finite shots. Bit-flip and phase-flip channels are secondary models. Noise-aware training injects noise at rate p</w:t>
      </w:r>
      <w:r>
        <w:rPr>
          <w:color w:val="000000"/>
          <w:vertAlign w:val="subscript"/>
        </w:rPr>
        <w:t xml:space="preserve">train</w:t>
      </w:r>
      <w:r>
        <w:rPr>
          <w:color w:val="000000"/>
        </w:rPr>
        <w:t xml:space="preserve"> during training, whereas the noise-unaware model is trained noiselessly. Both are tested over the full grid of p</w:t>
      </w:r>
      <w:r>
        <w:rPr>
          <w:color w:val="000000"/>
          <w:vertAlign w:val="subscript"/>
        </w:rPr>
        <w:t xml:space="preserve">test</w:t>
      </w:r>
      <w:r>
        <w:rPr>
          <w:color w:val="000000"/>
        </w:rPr>
        <w:t xml:space="preserve">, so that train–test noise mismatch is visible.</w:t>
      </w:r>
    </w:p>
    <w:p>
      <w:pPr>
        <w:keepNext/>
        <w:spacing w:before="120" w:after="40"/>
      </w:pPr>
      <w:r>
        <w:rPr>
          <w:i/>
          <w:iCs/>
          <w:color w:val="000000"/>
        </w:rPr>
        <w:t xml:space="preserve">E. Classical Baselines and Fairness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Baselines are logistic regression, an RBF-kernel SVM, and two multilayer perceptrons (MLPs): one whose trainable-parameter count is matched to the QENN, including its classical layers, and one tuned freely. All models share identical splits and pre-processing, and hyperparameters are tuned by inner-loop cross-validation with an equal search budget per model family. Parameter matching is imperfect because quantum and classical parameters are not equivalent, so accuracy is also reported against wall-clock time and circuit executions.</w:t>
      </w:r>
    </w:p>
    <w:p>
      <w:pPr>
        <w:keepNext/>
        <w:spacing w:before="120" w:after="40"/>
      </w:pPr>
      <w:r>
        <w:rPr>
          <w:i/>
          <w:iCs/>
          <w:color w:val="000000"/>
        </w:rPr>
        <w:t xml:space="preserve">F. Hypotheses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Hypotheses are fixed before running experiments. </w:t>
      </w:r>
      <w:r>
        <w:rPr>
          <w:b/>
          <w:bCs/>
          <w:color w:val="000000"/>
        </w:rPr>
        <w:t xml:space="preserve">H1:</w:t>
      </w:r>
      <w:r>
        <w:rPr>
          <w:color w:val="000000"/>
        </w:rPr>
        <w:t xml:space="preserve"> A parameter-matched MLP will match or exceed QENN accuracy on all four tasks. </w:t>
      </w:r>
      <w:r>
        <w:rPr>
          <w:b/>
          <w:bCs/>
          <w:color w:val="000000"/>
        </w:rPr>
        <w:t xml:space="preserve">H2:</w:t>
      </w:r>
      <w:r>
        <w:rPr>
          <w:color w:val="000000"/>
        </w:rPr>
        <w:t xml:space="preserve"> Trainable encoding will improve QENN accuracy over fixed encoding on the non-linearly separable tasks. </w:t>
      </w:r>
      <w:r>
        <w:rPr>
          <w:b/>
          <w:bCs/>
          <w:color w:val="000000"/>
        </w:rPr>
        <w:t xml:space="preserve">H3:</w:t>
      </w:r>
      <w:r>
        <w:rPr>
          <w:color w:val="000000"/>
        </w:rPr>
        <w:t xml:space="preserve"> Beyond a moderate depth, extra layers will raise cost and reduce gradient variance without improving accuracy. </w:t>
      </w:r>
      <w:r>
        <w:rPr>
          <w:b/>
          <w:bCs/>
          <w:color w:val="000000"/>
        </w:rPr>
        <w:t xml:space="preserve">H4:</w:t>
      </w:r>
      <w:r>
        <w:rPr>
          <w:color w:val="000000"/>
        </w:rPr>
        <w:t xml:space="preserve"> Noise-aware training will recover part of the accuracy lost under depolarising noise. The results may support or reject each of these.</w:t>
      </w:r>
    </w:p>
    <w:p>
      <w:pPr>
        <w:keepNext/>
        <w:spacing w:before="200" w:after="80"/>
        <w:jc w:val="center"/>
      </w:pPr>
      <w:r>
        <w:rPr>
          <w:b/>
          <w:bCs/>
          <w:caps/>
          <w:color w:val="000000"/>
        </w:rPr>
        <w:t xml:space="preserve">IV. Experimental Setup</w:t>
      </w:r>
    </w:p>
    <w:p>
      <w:pPr>
        <w:keepNext/>
        <w:spacing w:before="120" w:after="40"/>
      </w:pPr>
      <w:r>
        <w:rPr>
          <w:i/>
          <w:iCs/>
          <w:color w:val="000000"/>
        </w:rPr>
        <w:t xml:space="preserve">A. Datasets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Four binary tasks are used: Two Moons and Concentric Circles (synthetic, 1,000 samples each, generated with scikit-learn [20]); Breast Cancer Wisconsin (569 samples, 30 features) [21]; and Iris restricted to versicolor versus virginica (100 samples, 4 features) [22]. Where d exceeds the qubit count, PCA reduces features to n components, fitted on the training fold only, followed by min–max scaling to [0, π].</w:t>
      </w:r>
    </w:p>
    <w:p>
      <w:pPr>
        <w:keepNext/>
        <w:spacing w:before="120" w:after="40"/>
      </w:pPr>
      <w:r>
        <w:rPr>
          <w:i/>
          <w:iCs/>
          <w:color w:val="000000"/>
        </w:rPr>
        <w:t xml:space="preserve">B. Configuration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Table II lists the starting configuration. Main results use n = 4 and L = 3 (24 circuit parameters); ablations vary one factor at a time. Any value changed after tuning will be reported.</w:t>
      </w:r>
    </w:p>
    <w:p>
      <w:pPr>
        <w:keepNext/>
        <w:spacing w:before="80" w:after="20"/>
        <w:jc w:val="center"/>
      </w:pPr>
      <w:r>
        <w:rPr>
          <w:b/>
          <w:bCs/>
          <w:caps/>
          <w:color w:val="000000"/>
          <w:sz w:val="18"/>
          <w:szCs w:val="18"/>
        </w:rPr>
        <w:t xml:space="preserve">TABLE II</w:t>
      </w:r>
    </w:p>
    <w:p>
      <w:pPr>
        <w:keepNext/>
        <w:spacing w:after="60"/>
        <w:jc w:val="center"/>
      </w:pPr>
      <w:r>
        <w:rPr>
          <w:i/>
          <w:iCs/>
          <w:color w:val="000000"/>
          <w:sz w:val="18"/>
          <w:szCs w:val="18"/>
        </w:rPr>
        <w:t xml:space="preserve">Starting Experimental Configuration</w:t>
      </w:r>
    </w:p>
    <w:tbl>
      <w:tblPr>
        <w:tblW w:w="4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160"/>
      </w:tblGrid>
      <w:tr>
        <w:trPr>
          <w:cantSplit/>
          <w:tblHeader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w="3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Qubits n</w:t>
            </w:r>
          </w:p>
        </w:tc>
        <w:tc>
          <w:tcPr>
            <w:tcW w:w="3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4 (ablation: 2, 4, 6, 8)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Depth L</w:t>
            </w:r>
          </w:p>
        </w:tc>
        <w:tc>
          <w:tcPr>
            <w:tcW w:w="3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3 (ablation: 1, 2, 3, 4, 6)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Entanglement</w:t>
            </w:r>
          </w:p>
        </w:tc>
        <w:tc>
          <w:tcPr>
            <w:tcW w:w="3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Linear (ablation: none, circular, all-to-all)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Encoding</w:t>
            </w:r>
          </w:p>
        </w:tc>
        <w:tc>
          <w:tcPr>
            <w:tcW w:w="3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Fixed vs trainable (re-uploading)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Optimiser</w:t>
            </w:r>
          </w:p>
        </w:tc>
        <w:tc>
          <w:tcPr>
            <w:tcW w:w="3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Adam, lr 0.01; SPSA as alternative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Training</w:t>
            </w:r>
          </w:p>
        </w:tc>
        <w:tc>
          <w:tcPr>
            <w:tcW w:w="3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Batch 32; ≤100 epochs; early stopping (patience 10)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Noise p</w:t>
            </w:r>
          </w:p>
        </w:tc>
        <w:tc>
          <w:tcPr>
            <w:tcW w:w="3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0, 0.001, 0.005, 0.01, 0.02 (depolarising)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Shots</w:t>
            </w:r>
          </w:p>
        </w:tc>
        <w:tc>
          <w:tcPr>
            <w:tcW w:w="3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Analytic (noiseless); 1,024 (noisy)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Validation</w:t>
            </w:r>
          </w:p>
        </w:tc>
        <w:tc>
          <w:tcPr>
            <w:tcW w:w="3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Stratified 5-fold CV × 5 seeds = 25 runs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i/>
          <w:iCs/>
          <w:color w:val="000000"/>
        </w:rPr>
        <w:t xml:space="preserve">C. Protocol and Metrics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Every configuration is run with stratified five-fold cross-validation and five seeds. Metrics are accuracy, precision, recall, F1-score, and AUC-ROC; training cost (wall-clock time and circuit executions); noise robustness, Δacc(p) = acc(0) − acc(p); and trainability, the variance of ∂J/∂θ</w:t>
      </w:r>
      <w:r>
        <w:rPr>
          <w:color w:val="000000"/>
          <w:vertAlign w:val="subscript"/>
        </w:rPr>
        <w:t xml:space="preserve">j</w:t>
      </w:r>
      <w:r>
        <w:rPr>
          <w:color w:val="000000"/>
        </w:rPr>
        <w:t xml:space="preserve"> over 100 random initialisations as a function of n and L. Results are reported as mean ± standard deviation with 95% bootstrap confidence intervals. Paired Wilcoxon signed-rank tests serve only as supporting evidence because cross-validation folds overlap. Raw per-run outputs are stored in CSV, and all tables and figures are generated from that file without manual edits.</w:t>
      </w:r>
    </w:p>
    <w:p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3017520" cy="2255558"/>
            <wp:effectExtent l="0" t="0" r="0" b="0"/>
            <wp:docPr id="13" name="fig13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25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both"/>
      </w:pPr>
      <w:r>
        <w:rPr>
          <w:i/>
          <w:iCs/>
          <w:color w:val="000000"/>
          <w:sz w:val="18"/>
          <w:szCs w:val="18"/>
        </w:rPr>
        <w:t xml:space="preserve">Fig. 3. Experimental protocol: shared datasets, splits, and seeds feed both QENN variants and classical baselines.</w:t>
      </w:r>
    </w:p>
    <w:p>
      <w:pPr>
        <w:keepNext/>
        <w:spacing w:before="120" w:after="40"/>
      </w:pPr>
      <w:r>
        <w:rPr>
          <w:i/>
          <w:iCs/>
          <w:color w:val="000000"/>
        </w:rPr>
        <w:t xml:space="preserve">D. Implementation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Experiments use Python with PyTorch [23], PennyLane [24], and Qiskit with Qiskit Aer [25] for noisy simulation, plus scikit-learn [20]. Hardware: </w:t>
      </w:r>
      <w:r>
        <w:rPr>
          <w:color w:val="000000"/>
          <w:highlight w:val="yellow"/>
        </w:rPr>
        <w:t xml:space="preserve">[insert CPU/GPU/RAM]</w:t>
      </w:r>
      <w:r>
        <w:rPr>
          <w:color w:val="000000"/>
        </w:rPr>
        <w:t xml:space="preserve">. Library versions: </w:t>
      </w:r>
      <w:r>
        <w:rPr>
          <w:color w:val="000000"/>
          <w:highlight w:val="yellow"/>
        </w:rPr>
        <w:t xml:space="preserve">[insert exact versions]</w:t>
      </w:r>
      <w:r>
        <w:rPr>
          <w:color w:val="000000"/>
        </w:rPr>
        <w:t xml:space="preserve">. No real quantum hardware is used in this study.</w:t>
      </w:r>
    </w:p>
    <w:p>
      <w:pPr>
        <w:keepNext/>
        <w:spacing w:before="200" w:after="80"/>
        <w:jc w:val="center"/>
      </w:pPr>
      <w:r>
        <w:rPr>
          <w:b/>
          <w:bCs/>
          <w:caps/>
          <w:color w:val="000000"/>
        </w:rPr>
        <w:t xml:space="preserve">V. Results and Analysis</w:t>
      </w:r>
    </w:p>
    <w:p>
      <w:pPr>
        <w:spacing w:after="80"/>
        <w:ind w:firstLine="360"/>
        <w:jc w:val="both"/>
      </w:pPr>
      <w:r>
        <w:rPr>
          <w:color w:val="000000"/>
          <w:highlight w:val="yellow"/>
        </w:rPr>
        <w:t xml:space="preserve">[DRAFT NOTE: every result cell below is intentionally empty. Fill them only from the raw experiment CSV, then delete this note.]</w:t>
      </w:r>
    </w:p>
    <w:p>
      <w:pPr>
        <w:keepNext/>
        <w:spacing w:before="120" w:after="40"/>
      </w:pPr>
      <w:r>
        <w:rPr>
          <w:i/>
          <w:iCs/>
          <w:color w:val="000000"/>
        </w:rPr>
        <w:t xml:space="preserve">A. Overall Performance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Table III compares all models across the four tasks. </w:t>
      </w:r>
      <w:r>
        <w:rPr>
          <w:color w:val="000000"/>
          <w:highlight w:val="yellow"/>
        </w:rPr>
        <w:t xml:space="preserve">[Insert 2–3 sentences: best model per task, whether differences exceed the confidence intervals, and whether H1 is supported.]</w:t>
      </w:r>
    </w:p>
    <w:p>
      <w:pPr>
        <w:keepNext/>
        <w:spacing w:before="80" w:after="20"/>
        <w:jc w:val="center"/>
      </w:pPr>
      <w:r>
        <w:rPr>
          <w:b/>
          <w:bCs/>
          <w:caps/>
          <w:color w:val="000000"/>
          <w:sz w:val="18"/>
          <w:szCs w:val="18"/>
        </w:rPr>
        <w:t xml:space="preserve">TABLE III</w:t>
      </w:r>
    </w:p>
    <w:p>
      <w:pPr>
        <w:keepNext/>
        <w:spacing w:after="60"/>
        <w:jc w:val="center"/>
      </w:pPr>
      <w:r>
        <w:rPr>
          <w:i/>
          <w:iCs/>
          <w:color w:val="000000"/>
          <w:sz w:val="18"/>
          <w:szCs w:val="18"/>
        </w:rPr>
        <w:t xml:space="preserve">Test Accuracy (%), Mean ± Std over 25 Runs</w:t>
      </w:r>
    </w:p>
    <w:tbl>
      <w:tblPr>
        <w:tblW w:w="4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"/>
        <w:gridCol w:w="760"/>
        <w:gridCol w:w="760"/>
        <w:gridCol w:w="760"/>
        <w:gridCol w:w="760"/>
        <w:gridCol w:w="760"/>
      </w:tblGrid>
      <w:tr>
        <w:trPr>
          <w:cantSplit/>
          <w:tblHeader/>
        </w:trPr>
        <w:tc>
          <w:tcPr>
            <w:tcW w:w="10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Params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Moons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Circles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Cancer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Iris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Log. Reg.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SVM (RBF)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MLP (matched)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MLP (tuned)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QENN-fixed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10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QENN-trainable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7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i/>
          <w:iCs/>
          <w:color w:val="000000"/>
        </w:rPr>
        <w:t xml:space="preserve">B. Encoding and Architecture Ablation</w:t>
      </w:r>
    </w:p>
    <w:p>
      <w:pPr>
        <w:spacing w:after="80"/>
        <w:ind w:firstLine="360"/>
        <w:jc w:val="both"/>
      </w:pPr>
      <w:r>
        <w:rPr>
          <w:color w:val="000000"/>
          <w:highlight w:val="yellow"/>
        </w:rPr>
        <w:t xml:space="preserve">[Insert Fig. 4: accuracy versus depth L for fixed and trainable encoding, and Fig. 5: gradient variance versus n and L. State whether H2 and H3 are supported, and which entanglement pattern performed best.]</w:t>
      </w:r>
    </w:p>
    <w:p>
      <w:pPr>
        <w:keepNext/>
        <w:spacing w:before="120" w:after="40"/>
      </w:pPr>
      <w:r>
        <w:rPr>
          <w:i/>
          <w:iCs/>
          <w:color w:val="000000"/>
        </w:rPr>
        <w:t xml:space="preserve">C. Noise Robustness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Table IV reports accuracy under depolarising noise. </w:t>
      </w:r>
      <w:r>
        <w:rPr>
          <w:color w:val="000000"/>
          <w:highlight w:val="yellow"/>
        </w:rPr>
        <w:t xml:space="preserve">[Insert analysis: size of the accuracy drop, whether noise-aware training recovers part of it, behaviour at mismatched p, and whether H4 is supported.]</w:t>
      </w:r>
    </w:p>
    <w:p>
      <w:pPr>
        <w:keepNext/>
        <w:spacing w:before="80" w:after="20"/>
        <w:jc w:val="center"/>
      </w:pPr>
      <w:r>
        <w:rPr>
          <w:b/>
          <w:bCs/>
          <w:caps/>
          <w:color w:val="000000"/>
          <w:sz w:val="18"/>
          <w:szCs w:val="18"/>
        </w:rPr>
        <w:t xml:space="preserve">TABLE IV</w:t>
      </w:r>
    </w:p>
    <w:p>
      <w:pPr>
        <w:keepNext/>
        <w:spacing w:after="60"/>
        <w:jc w:val="center"/>
      </w:pPr>
      <w:r>
        <w:rPr>
          <w:i/>
          <w:iCs/>
          <w:color w:val="000000"/>
          <w:sz w:val="18"/>
          <w:szCs w:val="18"/>
        </w:rPr>
        <w:t xml:space="preserve">Test Accuracy (%) vs Noise Level p — </w:t>
      </w:r>
      <w:r>
        <w:rPr>
          <w:i/>
          <w:iCs/>
          <w:color w:val="000000"/>
          <w:sz w:val="18"/>
          <w:szCs w:val="18"/>
          <w:highlight w:val="yellow"/>
        </w:rPr>
        <w:t xml:space="preserve">[dataset]</w:t>
      </w:r>
    </w:p>
    <w:tbl>
      <w:tblPr>
        <w:tblW w:w="48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675"/>
        <w:gridCol w:w="675"/>
        <w:gridCol w:w="675"/>
        <w:gridCol w:w="675"/>
      </w:tblGrid>
      <w:tr>
        <w:trPr>
          <w:cantSplit/>
          <w:tblHeader/>
        </w:trPr>
        <w:tc>
          <w:tcPr>
            <w:tcW w:w="21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 = 0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0.005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0.01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0.02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QENN, noise-unaware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QENN, noise-aware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left"/>
            </w:pPr>
            <w:r>
              <w:rPr>
                <w:color w:val="000000"/>
                <w:sz w:val="16"/>
                <w:szCs w:val="16"/>
              </w:rPr>
              <w:t xml:space="preserve">Best classical (reference)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w="6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keepNext/>
              <w:jc w:val="center"/>
            </w:pPr>
            <w:r>
              <w:rPr>
                <w:color w:val="000000"/>
                <w:sz w:val="16"/>
                <w:szCs w:val="16"/>
              </w:rPr>
              <w:t xml:space="preserve">n/a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i/>
          <w:iCs/>
          <w:color w:val="000000"/>
        </w:rPr>
        <w:t xml:space="preserve">D. Computational Cost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Because classical simulation cost grows as 2</w:t>
      </w:r>
      <w:r>
        <w:rPr>
          <w:color w:val="000000"/>
          <w:vertAlign w:val="superscript"/>
        </w:rPr>
        <w:t xml:space="preserve">n</w:t>
      </w:r>
      <w:r>
        <w:rPr>
          <w:color w:val="000000"/>
        </w:rPr>
        <w:t xml:space="preserve">, simulated wall-clock time must not be read as a prediction of hardware runtime. </w:t>
      </w:r>
      <w:r>
        <w:rPr>
          <w:color w:val="000000"/>
          <w:highlight w:val="yellow"/>
        </w:rPr>
        <w:t xml:space="preserve">[Insert training time and circuit-execution counts per model, and accuracy per trainable parameter.]</w:t>
      </w:r>
    </w:p>
    <w:p>
      <w:pPr>
        <w:keepNext/>
        <w:spacing w:before="200" w:after="80"/>
        <w:jc w:val="center"/>
      </w:pPr>
      <w:r>
        <w:rPr>
          <w:b/>
          <w:bCs/>
          <w:caps/>
          <w:color w:val="000000"/>
        </w:rPr>
        <w:t xml:space="preserve">VI. Limitations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This study has clear limits. (i) All quantum results come from classical simulation; real devices add crosstalk, drift, and readout error that a depolarising model does not capture. (ii) Simulation restricts n to a few qubits, and small PCA-reduced datasets may hide differences that appear at scale. (iii) Parameter counts are an imperfect basis for matching quantum and classical models. (iv) Hyperparameter budgets are finite, so a stronger configuration of any model may exist. (v) The study tests accuracy and trainability, not complexity-theoretic advantage: a result favouring QENN would not establish quantum advantage, and a result against it would not rule out advantage on other tasks or at larger scale. (vi) Noise-aware training is assessed only against the noise channels simulated here.</w:t>
      </w:r>
    </w:p>
    <w:p>
      <w:pPr>
        <w:keepNext/>
        <w:spacing w:before="200" w:after="80"/>
        <w:jc w:val="center"/>
      </w:pPr>
      <w:r>
        <w:rPr>
          <w:b/>
          <w:bCs/>
          <w:caps/>
          <w:color w:val="000000"/>
        </w:rPr>
        <w:t xml:space="preserve">VII. Conclusions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This paper presented a controlled benchmark of a hybrid Quantum-Enhanced Neural Network, comparing fixed and trainable encoding and noise-unaware and noise-aware training against matched and tuned classical baselines. </w:t>
      </w:r>
      <w:r>
        <w:rPr>
          <w:color w:val="000000"/>
          <w:highlight w:val="yellow"/>
        </w:rPr>
        <w:t xml:space="preserve">[After the experiments, answer RQ1–RQ4 directly with key numbers and state which of H1–H4 were supported.]</w:t>
      </w:r>
      <w:r>
        <w:rPr>
          <w:color w:val="000000"/>
        </w:rPr>
        <w:t xml:space="preserve"> The protocol—matched baselines, repeated cross-validation, explicit noise modelling, and released code—is intended to make any conclusion, favourable or not, reproducible.</w:t>
      </w:r>
    </w:p>
    <w:p>
      <w:pPr>
        <w:spacing w:after="80"/>
        <w:ind w:firstLine="360"/>
        <w:jc w:val="both"/>
      </w:pPr>
      <w:r>
        <w:rPr>
          <w:color w:val="000000"/>
        </w:rPr>
        <w:t xml:space="preserve">Future work includes running the best configurations on IBM Quantum hardware, adding error mitigation such as zero-noise extrapolation [17], evaluating quantum kernels and convolutional circuits [15], testing larger and image-based datasets, and comparing against quantum-inspired classical models.</w:t>
      </w:r>
    </w:p>
    <w:p>
      <w:pPr>
        <w:keepNext/>
        <w:spacing w:before="180" w:after="80"/>
      </w:pPr>
      <w:r>
        <w:rPr>
          <w:b/>
          <w:bCs/>
          <w:caps/>
          <w:color w:val="000000"/>
        </w:rPr>
        <w:t xml:space="preserve">References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[1] </w:t>
      </w:r>
      <w:r>
        <w:rPr>
          <w:color w:val="000000"/>
          <w:sz w:val="18"/>
          <w:szCs w:val="18"/>
        </w:rPr>
        <w:t xml:space="preserve">J. Preskill, "Quantum computing in the NISQ era and beyond," Quantum, vol. 2, p. 79, 2018.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[2] </w:t>
      </w:r>
      <w:r>
        <w:rPr>
          <w:color w:val="000000"/>
          <w:sz w:val="18"/>
          <w:szCs w:val="18"/>
        </w:rPr>
        <w:t xml:space="preserve">K. Bharti et al., "Noisy intermediate-scale quantum algorithms," Rev. Mod. Phys., vol. 94, 015004, 2022.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[3] </w:t>
      </w:r>
      <w:r>
        <w:rPr>
          <w:color w:val="000000"/>
          <w:sz w:val="18"/>
          <w:szCs w:val="18"/>
        </w:rPr>
        <w:t xml:space="preserve">J. Biamonte et al., "Quantum machine learning," Nature, vol. 549, pp. 195–202, 2017.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[4] </w:t>
      </w:r>
      <w:r>
        <w:rPr>
          <w:color w:val="000000"/>
          <w:sz w:val="18"/>
          <w:szCs w:val="18"/>
        </w:rPr>
        <w:t xml:space="preserve">M. Benedetti et al., "Parameterized quantum circuits as machine learning models," Quantum Sci. Technol., vol. 4, 043001, 2019.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[5] </w:t>
      </w:r>
      <w:r>
        <w:rPr>
          <w:color w:val="000000"/>
          <w:sz w:val="18"/>
          <w:szCs w:val="18"/>
        </w:rPr>
        <w:t xml:space="preserve">M. Cerezo et al., "Variational quantum algorithms," Nat. Rev. Phys., vol. 3, pp. 625–644, 2021.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[6] </w:t>
      </w:r>
      <w:r>
        <w:rPr>
          <w:color w:val="000000"/>
          <w:sz w:val="18"/>
          <w:szCs w:val="18"/>
        </w:rPr>
        <w:t xml:space="preserve">K. Mitarai et al., "Quantum circuit learning," Phys. Rev. A, vol. 98, 032309, 2018.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[7] </w:t>
      </w:r>
      <w:r>
        <w:rPr>
          <w:color w:val="000000"/>
          <w:sz w:val="18"/>
          <w:szCs w:val="18"/>
        </w:rPr>
        <w:t xml:space="preserve">M. Schuld et al., "Evaluating analytic gradients on quantum hardware," Phys. Rev. A, vol. 99, 032331, 2019.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[8] </w:t>
      </w:r>
      <w:r>
        <w:rPr>
          <w:color w:val="000000"/>
          <w:sz w:val="18"/>
          <w:szCs w:val="18"/>
        </w:rPr>
        <w:t xml:space="preserve">J. R. McClean et al., "Barren plateaus in quantum neural network training landscapes," Nat. Commun., vol. 9, 4812, 2018.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[9] </w:t>
      </w:r>
      <w:r>
        <w:rPr>
          <w:color w:val="000000"/>
          <w:sz w:val="18"/>
          <w:szCs w:val="18"/>
        </w:rPr>
        <w:t xml:space="preserve">M. Schuld, R. Sweke, and J. J. Meyer, "Effect of data encoding on the expressive power of variational quantum-machine-learning models," Phys. Rev. A, vol. 103, 032430, 2021.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[10] </w:t>
      </w:r>
      <w:r>
        <w:rPr>
          <w:color w:val="000000"/>
          <w:sz w:val="18"/>
          <w:szCs w:val="18"/>
        </w:rPr>
        <w:t xml:space="preserve">A. Pérez-Salinas et al., "Data re-uploading for a universal quantum classifier," Quantum, vol. 4, p. 226, 2020.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[11] </w:t>
      </w:r>
      <w:r>
        <w:rPr>
          <w:color w:val="000000"/>
          <w:sz w:val="18"/>
          <w:szCs w:val="18"/>
        </w:rPr>
        <w:t xml:space="preserve">J. Bowles, S. Ahmed, and M. Schuld, "Better than classical? The subtle art of benchmarking quantum machine learning models," arXiv:2403.07059, 2024.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[12] </w:t>
      </w:r>
      <w:r>
        <w:rPr>
          <w:color w:val="000000"/>
          <w:sz w:val="18"/>
          <w:szCs w:val="18"/>
        </w:rPr>
        <w:t xml:space="preserve">H.-Y. Huang et al., "Power of data in quantum machine learning," Nat. Commun., vol. 12, 2631, 2021.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[13] </w:t>
      </w:r>
      <w:r>
        <w:rPr>
          <w:color w:val="000000"/>
          <w:sz w:val="18"/>
          <w:szCs w:val="18"/>
        </w:rPr>
        <w:t xml:space="preserve">V. Havlíček et al., "Supervised learning with quantum-enhanced feature spaces," Nature, vol. 567, pp. 209–212, 2019.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[14] </w:t>
      </w:r>
      <w:r>
        <w:rPr>
          <w:color w:val="000000"/>
          <w:sz w:val="18"/>
          <w:szCs w:val="18"/>
        </w:rPr>
        <w:t xml:space="preserve">M. Schuld et al., "Circuit-centric quantum classifiers," Phys. Rev. A, vol. 101, 032308, 2020.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[15] </w:t>
      </w:r>
      <w:r>
        <w:rPr>
          <w:color w:val="000000"/>
          <w:sz w:val="18"/>
          <w:szCs w:val="18"/>
        </w:rPr>
        <w:t xml:space="preserve">I. Cong, S. Choi, and M. D. Lukin, "Quantum convolutional neural networks," Nat. Phys., vol. 15, pp. 1273–1278, 2019.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[16] </w:t>
      </w:r>
      <w:r>
        <w:rPr>
          <w:color w:val="000000"/>
          <w:sz w:val="18"/>
          <w:szCs w:val="18"/>
        </w:rPr>
        <w:t xml:space="preserve">A. Abbas et al., "The power of quantum neural networks," Nat. Comput. Sci., vol. 1, pp. 403–409, 2021.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[17] </w:t>
      </w:r>
      <w:r>
        <w:rPr>
          <w:color w:val="000000"/>
          <w:sz w:val="18"/>
          <w:szCs w:val="18"/>
        </w:rPr>
        <w:t xml:space="preserve">K. Temme, S. Bravyi, and J. M. Gambetta, "Error mitigation for short-depth quantum circuits," Phys. Rev. Lett., vol. 119, 180509, 2017.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[18] </w:t>
      </w:r>
      <w:r>
        <w:rPr>
          <w:color w:val="000000"/>
          <w:sz w:val="18"/>
          <w:szCs w:val="18"/>
        </w:rPr>
        <w:t xml:space="preserve">D. P. Kingma and J. Ba, "Adam: A method for stochastic optimization," ICLR, 2015.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[19] </w:t>
      </w:r>
      <w:r>
        <w:rPr>
          <w:color w:val="000000"/>
          <w:sz w:val="18"/>
          <w:szCs w:val="18"/>
        </w:rPr>
        <w:t xml:space="preserve">J. C. Spall, "Multivariate stochastic approximation using a simultaneous perturbation gradient approximation," IEEE Trans. Autom. Control, vol. 37, no. 3, pp. 332–341, 1992.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[20] </w:t>
      </w:r>
      <w:r>
        <w:rPr>
          <w:color w:val="000000"/>
          <w:sz w:val="18"/>
          <w:szCs w:val="18"/>
        </w:rPr>
        <w:t xml:space="preserve">F. Pedregosa et al., "Scikit-learn: Machine learning in Python," J. Mach. Learn. Res., vol. 12, pp. 2825–2830, 2011.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[21] </w:t>
      </w:r>
      <w:r>
        <w:rPr>
          <w:color w:val="000000"/>
          <w:sz w:val="18"/>
          <w:szCs w:val="18"/>
        </w:rPr>
        <w:t xml:space="preserve">W. N. Street, W. H. Wolberg, and O. L. Mangasarian, "Nuclear feature extraction for breast tumor diagnosis," Proc. SPIE, vol. 1905, pp. 861–870, 1993.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[22] </w:t>
      </w:r>
      <w:r>
        <w:rPr>
          <w:color w:val="000000"/>
          <w:sz w:val="18"/>
          <w:szCs w:val="18"/>
        </w:rPr>
        <w:t xml:space="preserve">R. A. Fisher, "The use of multiple measurements in taxonomic problems," Ann. Eugenics, vol. 7, no. 2, pp. 179–188, 1936.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[23] </w:t>
      </w:r>
      <w:r>
        <w:rPr>
          <w:color w:val="000000"/>
          <w:sz w:val="18"/>
          <w:szCs w:val="18"/>
        </w:rPr>
        <w:t xml:space="preserve">A. Paszke et al., "PyTorch: An imperative style, high-performance deep learning library," NeurIPS, 2019.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[24] </w:t>
      </w:r>
      <w:r>
        <w:rPr>
          <w:color w:val="000000"/>
          <w:sz w:val="18"/>
          <w:szCs w:val="18"/>
        </w:rPr>
        <w:t xml:space="preserve">V. Bergholm et al., "PennyLane: Automatic differentiation of hybrid quantum-classical computations," arXiv:1811.04968, 2018.</w:t>
      </w:r>
    </w:p>
    <w:p>
      <w:pPr>
        <w:spacing w:after="40"/>
        <w:ind w:left="360" w:hanging="360"/>
        <w:jc w:val="both"/>
      </w:pPr>
      <w:r>
        <w:rPr>
          <w:b/>
          <w:bCs/>
          <w:color w:val="000000"/>
          <w:sz w:val="18"/>
          <w:szCs w:val="18"/>
        </w:rPr>
        <w:t xml:space="preserve">[25] </w:t>
      </w:r>
      <w:r>
        <w:rPr>
          <w:color w:val="000000"/>
          <w:sz w:val="18"/>
          <w:szCs w:val="18"/>
        </w:rPr>
        <w:t xml:space="preserve">Qiskit contributors, "Qiskit: An open-source framework for quantum computing," Zenodo, 2023.</w:t>
      </w:r>
    </w:p>
    <w:sectPr>
      <w:type w:val="continuous"/>
      <w:pgSz w:w="11906" w:h="16838"/>
      <w:pgMar w:top="1008" w:right="864" w:bottom="1008" w:left="864" w:header="708" w:footer="708" w:gutter="0"/>
      <w:cols w:num="2" w:space="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25AC0"/>
    <w:multiLevelType w:val="hybridMultilevel"/>
    <w:tmpl w:val="A712FFEA"/>
    <w:lvl w:ilvl="0" w:tplc="40B0FA2C">
      <w:start w:val="1"/>
      <w:numFmt w:val="bullet"/>
      <w:lvlText w:val="●"/>
      <w:lvlJc w:val="left"/>
      <w:pPr>
        <w:ind w:left="720" w:hanging="360"/>
      </w:pPr>
    </w:lvl>
    <w:lvl w:ilvl="1" w:tplc="2BB8A0F8">
      <w:start w:val="1"/>
      <w:numFmt w:val="bullet"/>
      <w:lvlText w:val="○"/>
      <w:lvlJc w:val="left"/>
      <w:pPr>
        <w:ind w:left="1440" w:hanging="360"/>
      </w:pPr>
    </w:lvl>
    <w:lvl w:ilvl="2" w:tplc="DF6CAFBE">
      <w:start w:val="1"/>
      <w:numFmt w:val="bullet"/>
      <w:lvlText w:val="■"/>
      <w:lvlJc w:val="left"/>
      <w:pPr>
        <w:ind w:left="2160" w:hanging="360"/>
      </w:pPr>
    </w:lvl>
    <w:lvl w:ilvl="3" w:tplc="8CE469BC">
      <w:start w:val="1"/>
      <w:numFmt w:val="bullet"/>
      <w:lvlText w:val="●"/>
      <w:lvlJc w:val="left"/>
      <w:pPr>
        <w:ind w:left="2880" w:hanging="360"/>
      </w:pPr>
    </w:lvl>
    <w:lvl w:ilvl="4" w:tplc="B3DEED7A">
      <w:start w:val="1"/>
      <w:numFmt w:val="bullet"/>
      <w:lvlText w:val="○"/>
      <w:lvlJc w:val="left"/>
      <w:pPr>
        <w:ind w:left="3600" w:hanging="360"/>
      </w:pPr>
    </w:lvl>
    <w:lvl w:ilvl="5" w:tplc="FCFE550E">
      <w:start w:val="1"/>
      <w:numFmt w:val="bullet"/>
      <w:lvlText w:val="■"/>
      <w:lvlJc w:val="left"/>
      <w:pPr>
        <w:ind w:left="4320" w:hanging="360"/>
      </w:pPr>
    </w:lvl>
    <w:lvl w:ilvl="6" w:tplc="90B63CD8">
      <w:start w:val="1"/>
      <w:numFmt w:val="bullet"/>
      <w:lvlText w:val="●"/>
      <w:lvlJc w:val="left"/>
      <w:pPr>
        <w:ind w:left="5040" w:hanging="360"/>
      </w:pPr>
    </w:lvl>
    <w:lvl w:ilvl="7" w:tplc="92FA22BC">
      <w:start w:val="1"/>
      <w:numFmt w:val="bullet"/>
      <w:lvlText w:val="●"/>
      <w:lvlJc w:val="left"/>
      <w:pPr>
        <w:ind w:left="5760" w:hanging="360"/>
      </w:pPr>
    </w:lvl>
    <w:lvl w:ilvl="8" w:tplc="0E287D84">
      <w:start w:val="1"/>
      <w:numFmt w:val="bullet"/>
      <w:lvlText w:val="●"/>
      <w:lvlJc w:val="left"/>
      <w:pPr>
        <w:ind w:left="6480" w:hanging="360"/>
      </w:pPr>
    </w:lvl>
  </w:abstractNum>
  <w:num w:numId="1" w16cid:durableId="1088967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317"/>
    <w:rsid w:val="007E78CE"/>
    <w:rsid w:val="008D57D2"/>
    <w:rsid w:val="00CB346C"/>
    <w:rsid w:val="00DC4714"/>
    <w:rsid w:val="00FB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B69C"/>
  <w15:docId w15:val="{DDCAAD45-72B6-46FE-A92A-FB9A71F15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2451</Words>
  <Characters>13977</Characters>
  <Application>Microsoft Office Word</Application>
  <DocSecurity>0</DocSecurity>
  <Lines>116</Lines>
  <Paragraphs>32</Paragraphs>
  <ScaleCrop>false</ScaleCrop>
  <Company/>
  <LinksUpToDate>false</LinksUpToDate>
  <CharactersWithSpaces>16396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Quantum-Enhanced Neural Networks: A Controlled Benchmark</dc:title>
  <dc:creator>Madhav Joshi</dc:creator>
  <cp:lastModifiedBy>Madhav Joshi</cp:lastModifiedBy>
  <cp:revision>2</cp:revision>
  <dcterms:created xsi:type="dcterms:W3CDTF">2026-04-12T08:20:00Z</dcterms:created>
  <dcterms:modified xsi:type="dcterms:W3CDTF">2026-04-12T08:20:00Z</dcterms:modified>
</cp:coreProperties>
</file>