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spacing w:line="240" w:lineRule="auto"/>
        <w:rPr>
          <w:rFonts w:ascii="Arial" w:hAnsi="Arial" w:eastAsia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eastAsia="Arial"/>
          <w:b/>
          <w:bCs/>
        </w:rPr>
        <w:t>&lt;Go商城&gt;</w:t>
      </w:r>
    </w:p>
    <w:p>
      <w:pPr>
        <w:pStyle w:val="6"/>
        <w:snapToGrid/>
        <w:spacing w:line="240" w:lineRule="auto"/>
        <w:rPr>
          <w:rFonts w:ascii="Arial" w:hAnsi="Arial" w:eastAsia="Arial"/>
          <w:b/>
          <w:bCs/>
          <w:sz w:val="36"/>
          <w:szCs w:val="36"/>
        </w:rPr>
      </w:pPr>
      <w:r>
        <w:rPr>
          <w:rFonts w:ascii="Arial" w:hAnsi="Arial" w:eastAsia="Arial"/>
          <w:b/>
          <w:bCs/>
        </w:rPr>
        <w:t>Use-Case-用例实现规约：&lt;商品选购&gt;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6"/>
        <w:snapToGrid/>
        <w:spacing w:line="240" w:lineRule="auto"/>
        <w:rPr>
          <w:rFonts w:ascii="Arial" w:hAnsi="Arial" w:eastAsia="Arial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</w:rPr>
        <w:t>版本</w:t>
      </w:r>
      <w:r>
        <w:rPr>
          <w:rFonts w:ascii="Arial" w:hAnsi="Arial" w:eastAsia="Arial"/>
          <w:b/>
          <w:bCs/>
        </w:rPr>
        <w:t xml:space="preserve"> &lt;1.0&gt;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6"/>
        <w:snapToGrid/>
        <w:spacing w:line="240" w:lineRule="auto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修订历史记录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140"/>
        <w:gridCol w:w="373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&lt;</w:t>
            </w:r>
            <w:r>
              <w:rPr>
                <w:rFonts w:ascii="宋体" w:hAnsi="宋体" w:eastAsia="宋体"/>
                <w:sz w:val="24"/>
                <w:szCs w:val="24"/>
              </w:rPr>
              <w:t>2020.06.13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&gt;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&lt;1.0&gt;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商品选购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after="120" w:line="312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牛晨旭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line="312" w:lineRule="auto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6"/>
        <w:snapToGrid/>
        <w:spacing w:line="240" w:lineRule="auto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目录</w:t>
      </w:r>
    </w:p>
    <w:p>
      <w:pPr>
        <w:spacing w:before="240" w:after="60" w:line="312" w:lineRule="auto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简介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目的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1.2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范围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1.3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定义、首字母缩写词和缩略语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1.4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参考资料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1.5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before="240" w:after="60" w:line="312" w:lineRule="auto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事件流</w:t>
      </w:r>
      <w:r>
        <w:rPr>
          <w:rFonts w:ascii="Arial" w:hAnsi="Arial" w:eastAsia="Arial"/>
          <w:sz w:val="21"/>
          <w:szCs w:val="21"/>
        </w:rPr>
        <w:t xml:space="preserve"> – </w:t>
      </w:r>
      <w:r>
        <w:rPr>
          <w:rFonts w:ascii="宋体" w:hAnsi="宋体" w:eastAsia="宋体"/>
          <w:sz w:val="21"/>
          <w:szCs w:val="21"/>
        </w:rPr>
        <w:t>设计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VOPC</w:t>
      </w:r>
      <w:r>
        <w:rPr>
          <w:rFonts w:ascii="宋体" w:hAnsi="宋体" w:eastAsia="宋体"/>
          <w:sz w:val="21"/>
          <w:szCs w:val="21"/>
        </w:rPr>
        <w:t>类图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2.2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顺序图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2.3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协作图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before="240" w:after="60" w:line="312" w:lineRule="auto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派生需求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pStyle w:val="6"/>
        <w:snapToGrid/>
        <w:spacing w:line="240" w:lineRule="auto"/>
        <w:rPr>
          <w:rFonts w:ascii="Arial" w:hAnsi="Arial" w:eastAsia="Arial"/>
          <w:b/>
          <w:bCs/>
          <w:sz w:val="36"/>
          <w:szCs w:val="36"/>
        </w:rPr>
      </w:pPr>
      <w:r>
        <w:rPr>
          <w:rFonts w:ascii="Arial" w:hAnsi="Arial" w:eastAsia="Arial"/>
          <w:b/>
          <w:bCs/>
        </w:rPr>
        <w:t>Use-Case-用例实现规约：实现商品的选购</w:t>
      </w:r>
    </w:p>
    <w:p>
      <w:pPr>
        <w:pStyle w:val="2"/>
        <w:snapToGrid/>
        <w:spacing w:before="120" w:after="60" w:line="312" w:lineRule="auto"/>
        <w:ind w:left="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1.简介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目的</w:t>
      </w:r>
    </w:p>
    <w:p>
      <w:pPr>
        <w:spacing w:after="120" w:line="312" w:lineRule="auto"/>
        <w:ind w:lef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明确商品管理在实现的时候需要遵循的条件和改变产生的影响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范围</w:t>
      </w:r>
    </w:p>
    <w:p>
      <w:pPr>
        <w:spacing w:after="120" w:line="312" w:lineRule="auto"/>
        <w:ind w:lef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商品，商品类别，购物车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定义、首字母缩写词和缩略语</w:t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t>商品 GOODS</w:t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t>商品类别 category</w:t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t xml:space="preserve">购物车  shoppingcarts 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参考资料</w:t>
      </w:r>
    </w:p>
    <w:p>
      <w:pPr>
        <w:snapToGrid w:val="0"/>
        <w:spacing w:line="312" w:lineRule="auto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&lt;&lt;database system concepts&gt;&gt; Raghu Srinivasan </w:t>
      </w:r>
    </w:p>
    <w:p>
      <w:pPr>
        <w:snapToGrid w:val="0"/>
        <w:spacing w:line="312" w:lineRule="auto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&lt;&lt;GO商城项目任务书》    Go小组</w:t>
      </w:r>
    </w:p>
    <w:p>
      <w:pPr>
        <w:snapToGrid w:val="0"/>
        <w:spacing w:line="312" w:lineRule="auto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&lt;&lt;GO商城软件需求规约》  Go小组</w:t>
      </w:r>
    </w:p>
    <w:p>
      <w:pPr>
        <w:spacing w:line="312" w:lineRule="auto"/>
        <w:jc w:val="left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&lt;&lt;GO商城用例规约模板》  Go小组</w:t>
      </w:r>
    </w:p>
    <w:p>
      <w:pPr>
        <w:spacing w:after="120" w:line="312" w:lineRule="auto"/>
        <w:ind w:left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用例需求文档——商品选购</w:t>
      </w:r>
    </w:p>
    <w:p>
      <w:pPr>
        <w:spacing w:after="120" w:line="312" w:lineRule="auto"/>
        <w:ind w:left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概述</w:t>
      </w:r>
    </w:p>
    <w:p>
      <w:pPr>
        <w:spacing w:after="120" w:line="312" w:lineRule="auto"/>
        <w:ind w:lef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该用例实现规约包含了基本事件流，以及涉及到的类和这些类所产生的变化，并根据这些变化画出协作图等，更直观的显示，进行可视化建模。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hanging="36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事件流</w:t>
      </w:r>
      <w:r>
        <w:rPr>
          <w:rFonts w:ascii="Arial" w:hAnsi="Arial" w:eastAsia="Arial"/>
          <w:b/>
          <w:bCs/>
        </w:rPr>
        <w:t xml:space="preserve"> – </w:t>
      </w:r>
      <w:r>
        <w:rPr>
          <w:rFonts w:ascii="宋体" w:hAnsi="宋体" w:eastAsia="宋体"/>
          <w:b/>
          <w:bCs/>
        </w:rPr>
        <w:t>设计</w:t>
      </w:r>
    </w:p>
    <w:p>
      <w:pPr>
        <w:spacing w:after="120" w:line="312" w:lineRule="auto"/>
        <w:ind w:left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Arial" w:hAnsi="Arial" w:eastAsia="Arial"/>
          <w:color w:val="000000"/>
          <w:sz w:val="24"/>
          <w:szCs w:val="24"/>
        </w:rPr>
        <w:t>系统通过对商品进行类别分类，将不同类别的商品进行分批展出，用户可以通过前端界面呈现出来的商品进行选择，将选择的商品加入到购物车，商品的数据库发生改变，购物车的类发生修改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VOPC类图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line="312" w:lineRule="auto"/>
        <w:ind w:hanging="720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drawing>
          <wp:inline distT="0" distB="0" distL="0" distR="0">
            <wp:extent cx="5274310" cy="429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顺序图</w:t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drawing>
          <wp:inline distT="0" distB="0" distL="0" distR="0">
            <wp:extent cx="5274310" cy="285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协作图</w:t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  <w:r>
        <w:rPr>
          <w:rFonts w:ascii="宋体" w:hAnsi="宋体" w:eastAsia="宋体"/>
          <w:b/>
          <w:bCs/>
          <w:sz w:val="20"/>
          <w:szCs w:val="20"/>
        </w:rPr>
        <w:drawing>
          <wp:inline distT="0" distB="0" distL="0" distR="0">
            <wp:extent cx="527431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</w:p>
    <w:p>
      <w:pPr>
        <w:spacing w:line="312" w:lineRule="auto"/>
        <w:jc w:val="left"/>
        <w:rPr>
          <w:rFonts w:ascii="宋体" w:hAnsi="宋体" w:eastAsia="宋体"/>
          <w:b/>
          <w:bCs/>
          <w:sz w:val="20"/>
          <w:szCs w:val="20"/>
        </w:rPr>
      </w:pP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hanging="36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派生需求</w:t>
      </w: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line="312" w:lineRule="auto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需要考虑当用户所选商品的库存数量为0的时候，需要前端界面显示出该商品没有库存的信息，并且无法添加到购物车里面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decimal"/>
      <w:lvlText w:val="%1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decimal"/>
      <w:lvlText w:val="%1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1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decimal"/>
      <w:lvlText w:val="%1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decimal"/>
      <w:lvlText w:val="%1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1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decimal"/>
      <w:lvlText w:val="%1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decimal"/>
      <w:lvlText w:val="%1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E9A5AFD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北街未雨，南巷初晴</cp:lastModifiedBy>
  <dcterms:modified xsi:type="dcterms:W3CDTF">2020-06-13T15:44:05Z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