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napToGrid/>
        <w:spacing w:line="240" w:lineRule="auto"/>
        <w:ind w:hangingChars="200"/>
        <w:rPr>
          <w:rFonts w:ascii="Arial" w:hAnsi="Arial" w:eastAsia="Arial"/>
          <w:b/>
          <w:bCs/>
          <w:sz w:val="36"/>
          <w:szCs w:val="36"/>
        </w:rPr>
      </w:pPr>
      <w:r>
        <w:rPr>
          <w:rFonts w:ascii="Arial" w:hAnsi="Arial" w:eastAsia="Arial"/>
          <w:b/>
          <w:bCs/>
        </w:rPr>
        <w:t>&lt;项目名称&gt;</w:t>
      </w:r>
    </w:p>
    <w:p>
      <w:pPr>
        <w:pStyle w:val="8"/>
        <w:snapToGrid/>
        <w:spacing w:line="240" w:lineRule="auto"/>
        <w:ind w:hangingChars="200"/>
        <w:rPr>
          <w:rFonts w:ascii="Times New Roman" w:hAnsi="Times New Roman" w:eastAsia="Times New Roman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用例规约：&lt;商品选购&gt;</w:t>
      </w:r>
      <w:r>
        <w:rPr>
          <w:rFonts w:ascii="Times New Roman" w:hAnsi="Times New Roman" w:eastAsia="Times New Roman"/>
          <w:b/>
          <w:bCs/>
        </w:rPr>
        <w:t xml:space="preserve"> </w:t>
      </w: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8"/>
        <w:snapToGrid/>
        <w:spacing w:line="240" w:lineRule="auto"/>
        <w:ind w:hangingChars="200"/>
        <w:rPr>
          <w:rFonts w:ascii="Arial" w:hAnsi="Arial" w:eastAsia="Arial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</w:rPr>
        <w:t>版本</w:t>
      </w:r>
      <w:r>
        <w:rPr>
          <w:rFonts w:ascii="Arial" w:hAnsi="Arial" w:eastAsia="Arial"/>
          <w:b/>
          <w:bCs/>
        </w:rPr>
        <w:t xml:space="preserve"> &lt;1.0&gt;</w:t>
      </w: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8"/>
        <w:snapToGrid/>
        <w:spacing w:line="240" w:lineRule="auto"/>
        <w:ind w:hangingChars="200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修订历史记录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140"/>
        <w:gridCol w:w="3735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both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ab/>
              <w:t>说明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2020/6/4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编辑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商品选购</w:t>
            </w:r>
            <w:bookmarkStart w:id="0" w:name="_GoBack"/>
            <w:bookmarkEnd w:id="0"/>
            <w:r>
              <w:rPr>
                <w:rFonts w:ascii="Times New Roman" w:hAnsi="Times New Roman" w:eastAsia="Times New Roman"/>
                <w:sz w:val="24"/>
                <w:szCs w:val="24"/>
              </w:rPr>
              <w:t>用例文档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120" w:line="312" w:lineRule="auto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牛晨旭、欧阳浩原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8"/>
        <w:snapToGrid/>
        <w:spacing w:line="240" w:lineRule="auto"/>
        <w:ind w:hangingChars="200"/>
        <w:rPr>
          <w:rFonts w:ascii="宋体" w:hAnsi="宋体" w:eastAsia="宋体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目录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用例名称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简要说明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事件流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基本流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2.2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备选流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864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2.2.1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第一备选流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line="240" w:lineRule="atLeast"/>
        <w:ind w:left="864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2.2.2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第二备选流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4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特殊需求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第一特殊需求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前置条件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前置条件一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5.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后置条件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5.1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后置条件一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6.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扩展点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line="240" w:lineRule="atLeast"/>
        <w:ind w:left="432"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6.1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&lt;</w:t>
      </w:r>
      <w:r>
        <w:rPr>
          <w:rFonts w:ascii="宋体" w:hAnsi="宋体" w:eastAsia="宋体"/>
          <w:sz w:val="21"/>
          <w:szCs w:val="21"/>
        </w:rPr>
        <w:t>扩展点名称</w:t>
      </w:r>
      <w:r>
        <w:rPr>
          <w:rFonts w:ascii="Times New Roman" w:hAnsi="Times New Roman" w:eastAsia="Times New Roman"/>
          <w:sz w:val="21"/>
          <w:szCs w:val="21"/>
        </w:rPr>
        <w:t>&gt;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spacing w:before="240" w:after="60" w:line="312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7.</w:t>
      </w:r>
      <w:r>
        <w:rPr>
          <w:rFonts w:ascii="Times New Roman" w:hAnsi="Times New Roman" w:eastAsia="Times New Roman"/>
          <w:kern w:val="2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活动图</w:t>
      </w:r>
      <w:r>
        <w:rPr>
          <w:rFonts w:ascii="Times New Roman" w:hAnsi="Times New Roman" w:eastAsia="Times New Roman"/>
          <w:sz w:val="21"/>
          <w:szCs w:val="21"/>
        </w:rPr>
        <w:tab/>
        <w:t>5</w:t>
      </w:r>
    </w:p>
    <w:p>
      <w:pPr>
        <w:pStyle w:val="8"/>
        <w:snapToGrid/>
        <w:spacing w:line="240" w:lineRule="auto"/>
        <w:ind w:hangingChars="200"/>
        <w:rPr>
          <w:rFonts w:ascii="Arial" w:hAnsi="Arial" w:eastAsia="Arial"/>
          <w:b/>
          <w:bCs/>
          <w:sz w:val="36"/>
          <w:szCs w:val="36"/>
        </w:rPr>
      </w:pPr>
      <w:r>
        <w:rPr>
          <w:rFonts w:ascii="宋体" w:hAnsi="宋体" w:eastAsia="宋体"/>
          <w:b/>
          <w:bCs/>
        </w:rPr>
        <w:t>用例规约：&lt;用例名称&gt;</w:t>
      </w:r>
      <w:r>
        <w:rPr>
          <w:rFonts w:ascii="Arial" w:hAnsi="Arial" w:eastAsia="Arial"/>
          <w:b/>
          <w:bCs/>
        </w:rPr>
        <w:t xml:space="preserve"> </w:t>
      </w: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用例名称：用户实现商品购买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简要说明</w:t>
      </w:r>
    </w:p>
    <w:p>
      <w:pPr>
        <w:spacing w:after="120" w:line="312" w:lineRule="auto"/>
        <w:ind w:left="720" w:hangingChars="20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作用：描述用户购买的基本事件流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目的：呈现出用户购买商品的逻辑，方便代码构建时和其他实体类产生关联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事件流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基本流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浏览商店提供的商品页面，在挑选完自己合适的商品后，将商品加入购物车，同时生成商品支付订单，用户确认后，实现购买。购买完成后，用户可以通过订单查询所购买商品基本信息，该ID所属的商品实例被删除，该商品种类总数量减少。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备选流</w:t>
      </w:r>
    </w:p>
    <w:p>
      <w:pPr>
        <w:pStyle w:val="4"/>
        <w:numPr>
          <w:ilvl w:val="2"/>
          <w:numId w:val="1"/>
        </w:numPr>
        <w:snapToGrid/>
        <w:spacing w:before="120" w:after="60" w:line="312" w:lineRule="auto"/>
        <w:ind w:leftChars="400" w:hanging="720"/>
        <w:rPr>
          <w:rFonts w:ascii="宋体" w:hAnsi="宋体" w:eastAsia="宋体"/>
          <w:i/>
          <w:iCs/>
        </w:rPr>
      </w:pPr>
      <w:r>
        <w:rPr>
          <w:rFonts w:ascii="宋体" w:hAnsi="宋体" w:eastAsia="宋体"/>
          <w:i/>
          <w:iCs/>
        </w:rPr>
        <w:t>&lt;第一备选流&gt;</w:t>
      </w:r>
    </w:p>
    <w:p>
      <w:pPr>
        <w:spacing w:after="120" w:line="312" w:lineRule="auto"/>
        <w:ind w:left="720" w:hangingChars="200"/>
        <w:jc w:val="both"/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</w:pPr>
      <w:r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  <w:t>用户将商品加入了购物车，但是没有下订单。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  <w:t>此时购物车中将保存记录，每个用户有其对应的购物车记录。</w:t>
      </w:r>
    </w:p>
    <w:p>
      <w:pPr>
        <w:pStyle w:val="5"/>
        <w:numPr>
          <w:ilvl w:val="3"/>
          <w:numId w:val="1"/>
        </w:numPr>
        <w:snapToGrid/>
        <w:spacing w:before="120" w:after="60" w:line="312" w:lineRule="auto"/>
        <w:ind w:leftChars="600" w:hanging="720"/>
        <w:rPr>
          <w:rFonts w:ascii="宋体" w:hAnsi="宋体" w:eastAsia="宋体"/>
        </w:rPr>
      </w:pPr>
      <w:r>
        <w:rPr>
          <w:rFonts w:ascii="宋体" w:hAnsi="宋体" w:eastAsia="宋体"/>
        </w:rPr>
        <w:t>&lt;备选分支流&gt;</w:t>
      </w:r>
    </w:p>
    <w:p>
      <w:pPr>
        <w:spacing w:after="120" w:line="312" w:lineRule="auto"/>
        <w:ind w:left="720" w:hangingChars="200"/>
        <w:jc w:val="both"/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</w:pPr>
      <w:r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  <w:t>用户将商品加入了购物车，但是没有下订单，隔了很久又下了订单。</w:t>
      </w:r>
    </w:p>
    <w:p>
      <w:pPr>
        <w:spacing w:after="120" w:line="312" w:lineRule="auto"/>
        <w:ind w:left="720" w:hangingChars="200"/>
        <w:jc w:val="both"/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</w:pPr>
      <w:r>
        <w:rPr>
          <w:rFonts w:ascii="SimSun,&quot;Songti SC&quot;,宋体,sans-seri" w:hAnsi="SimSun,&quot;Songti SC&quot;,宋体,sans-seri" w:eastAsia="SimSun,&quot;Songti SC&quot;,宋体,sans-seri"/>
          <w:color w:val="000000"/>
          <w:sz w:val="24"/>
          <w:szCs w:val="24"/>
        </w:rPr>
        <w:t>转入基本事件流。</w:t>
      </w:r>
    </w:p>
    <w:p>
      <w:pPr>
        <w:pStyle w:val="4"/>
        <w:numPr>
          <w:ilvl w:val="2"/>
          <w:numId w:val="1"/>
        </w:numPr>
        <w:snapToGrid/>
        <w:spacing w:before="120" w:after="60" w:line="312" w:lineRule="auto"/>
        <w:ind w:leftChars="400" w:hanging="720"/>
        <w:rPr>
          <w:rFonts w:ascii="宋体" w:hAnsi="宋体" w:eastAsia="宋体"/>
          <w:i/>
          <w:iCs/>
        </w:rPr>
      </w:pPr>
      <w:r>
        <w:rPr>
          <w:rFonts w:ascii="宋体" w:hAnsi="宋体" w:eastAsia="宋体"/>
          <w:i/>
          <w:iCs/>
        </w:rPr>
        <w:t>&lt;第二备选流&gt;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用户下了订单，但是没有付款。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此时订单中会记录此订单的状态，设为提交订单但是未付款。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特殊需求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&lt;第一特殊需求&gt;</w:t>
      </w:r>
    </w:p>
    <w:p>
      <w:pPr>
        <w:spacing w:line="312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可用性：商品图片被展示出来，方便用户浏览选择</w:t>
      </w:r>
    </w:p>
    <w:p>
      <w:pPr>
        <w:spacing w:line="312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可靠性：商品实现购买后，商品的实例和数量需要在数据库中变化并保存</w:t>
      </w:r>
    </w:p>
    <w:p>
      <w:pPr>
        <w:spacing w:line="312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性能：多个用户实现购买的时候不会出现订单信息错误</w:t>
      </w:r>
    </w:p>
    <w:p>
      <w:pPr>
        <w:spacing w:line="312" w:lineRule="auto"/>
        <w:ind w:hanging="7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支持性：支持二维码付款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前置条件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&lt;前置条件一&gt;</w:t>
      </w:r>
    </w:p>
    <w:p>
      <w:pPr>
        <w:numPr>
          <w:ilvl w:val="0"/>
          <w:numId w:val="2"/>
        </w:numPr>
        <w:spacing w:after="120" w:line="312" w:lineRule="auto"/>
        <w:ind w:left="0" w:hangingChars="1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用户已经实现该商城系统的用户注册，并成功登录</w:t>
      </w:r>
    </w:p>
    <w:p>
      <w:pPr>
        <w:numPr>
          <w:ilvl w:val="0"/>
          <w:numId w:val="2"/>
        </w:numPr>
        <w:spacing w:after="120" w:line="312" w:lineRule="auto"/>
        <w:ind w:left="0" w:hangingChars="1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个人用户中余额足够</w:t>
      </w:r>
    </w:p>
    <w:p>
      <w:pPr>
        <w:numPr>
          <w:ilvl w:val="0"/>
          <w:numId w:val="2"/>
        </w:numPr>
        <w:spacing w:after="120" w:line="312" w:lineRule="auto"/>
        <w:ind w:left="0" w:hangingChars="1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所选购商品仍有存货，数量大于0</w:t>
      </w: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后置条件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&lt;后置条件一&gt;</w:t>
      </w:r>
    </w:p>
    <w:p>
      <w:pPr>
        <w:numPr>
          <w:ilvl w:val="0"/>
          <w:numId w:val="3"/>
        </w:numPr>
        <w:spacing w:line="312" w:lineRule="auto"/>
        <w:ind w:left="0" w:hangingChars="1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新的订单生成，保存了用户和商品的基本信息</w:t>
      </w:r>
    </w:p>
    <w:p>
      <w:pPr>
        <w:numPr>
          <w:ilvl w:val="0"/>
          <w:numId w:val="3"/>
        </w:numPr>
        <w:spacing w:line="312" w:lineRule="auto"/>
        <w:ind w:left="0" w:hangingChars="1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付款后订单状态改为未发货</w:t>
      </w:r>
    </w:p>
    <w:p>
      <w:pPr>
        <w:numPr>
          <w:ilvl w:val="0"/>
          <w:numId w:val="3"/>
        </w:numPr>
        <w:spacing w:line="312" w:lineRule="auto"/>
        <w:ind w:left="0" w:hanging="7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该商品所属的商品种类的总数量减少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扩展点</w:t>
      </w:r>
    </w:p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vip用户</w:t>
      </w:r>
    </w:p>
    <w:p>
      <w:pPr>
        <w:pStyle w:val="3"/>
        <w:numPr>
          <w:ilvl w:val="1"/>
          <w:numId w:val="1"/>
        </w:numPr>
        <w:snapToGrid/>
        <w:spacing w:before="120" w:after="60" w:line="312" w:lineRule="auto"/>
        <w:ind w:leftChars="20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&lt;扩展点名称&gt;</w:t>
      </w:r>
    </w:p>
    <w:p>
      <w:pPr>
        <w:spacing w:after="120" w:line="312" w:lineRule="auto"/>
        <w:ind w:left="720" w:hanging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vip用户实现商品购买</w:t>
      </w:r>
    </w:p>
    <w:p>
      <w:pPr>
        <w:pStyle w:val="2"/>
        <w:numPr>
          <w:ilvl w:val="0"/>
          <w:numId w:val="1"/>
        </w:numPr>
        <w:snapToGrid/>
        <w:spacing w:before="120" w:after="60" w:line="312" w:lineRule="auto"/>
        <w:ind w:left="0" w:hanging="720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活动图</w:t>
      </w:r>
    </w:p>
    <w:p>
      <w:pPr>
        <w:spacing w:line="312" w:lineRule="auto"/>
        <w:ind w:hanging="72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drawing>
          <wp:inline distT="0" distB="0" distL="0" distR="0">
            <wp:extent cx="5274310" cy="5341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,&quot;Songti SC&quot;,宋体,sans-seri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decimal"/>
      <w:lvlText w:val="%2.%1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decimal"/>
      <w:lvlText w:val="%3.%2.%1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%3.%2.%1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decimal"/>
      <w:lvlText w:val="%5.%4.%3.%2.%1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decimal"/>
      <w:lvlText w:val="%6.%5.%4.%3.%2.%1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%6.%5.%4.%3.%2.%1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decimal"/>
      <w:lvlText w:val="%8.%7.%6.%5.%4.%3.%2.%1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decimal"/>
      <w:lvlText w:val="%9.%8.%7.%6.%5.%4.%3.%2.%1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86C5EDC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北街未雨，南巷初晴</cp:lastModifiedBy>
  <dcterms:modified xsi:type="dcterms:W3CDTF">2020-06-06T11:17:39Z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