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DC9B" w14:textId="2DB3A5AC" w:rsidR="007E60F8" w:rsidRPr="005600B1" w:rsidRDefault="007E60F8" w:rsidP="007E60F8">
      <w:pPr>
        <w:rPr>
          <w:rFonts w:ascii="Times New Roman" w:hAnsi="Times New Roman" w:cs="Times New Roman"/>
          <w:b/>
          <w:bCs/>
        </w:rPr>
      </w:pPr>
      <w:r w:rsidRPr="005600B1">
        <w:rPr>
          <w:rFonts w:ascii="Times New Roman" w:hAnsi="Times New Roman" w:cs="Times New Roman"/>
          <w:b/>
          <w:bCs/>
        </w:rPr>
        <w:t>Equipment parameters</w:t>
      </w:r>
    </w:p>
    <w:p w14:paraId="5032E58B" w14:textId="520C4CF5" w:rsidR="005B2F8A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each </w:t>
      </w:r>
      <w:r w:rsidR="00CF5F43" w:rsidRPr="005600B1">
        <w:rPr>
          <w:rFonts w:ascii="Times New Roman" w:hAnsi="Times New Roman" w:cs="Times New Roman"/>
        </w:rPr>
        <w:t>proton exchange membrane (</w:t>
      </w:r>
      <w:r w:rsidRPr="005600B1">
        <w:rPr>
          <w:rFonts w:ascii="Times New Roman" w:hAnsi="Times New Roman" w:cs="Times New Roman"/>
        </w:rPr>
        <w:t>PEM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</w:t>
      </w:r>
      <w:r w:rsidR="00CF5F43" w:rsidRPr="005600B1">
        <w:rPr>
          <w:rFonts w:ascii="Times New Roman" w:hAnsi="Times New Roman" w:cs="Times New Roman"/>
        </w:rPr>
        <w:t>electrolyser</w:t>
      </w:r>
      <w:r w:rsidRPr="005600B1">
        <w:rPr>
          <w:rFonts w:ascii="Times New Roman" w:hAnsi="Times New Roman" w:cs="Times New Roman"/>
        </w:rPr>
        <w:t xml:space="preserve"> array, corresponding to the Siemens product '</w:t>
      </w:r>
      <w:proofErr w:type="spellStart"/>
      <w:r w:rsidRPr="005600B1">
        <w:rPr>
          <w:rFonts w:ascii="Times New Roman" w:hAnsi="Times New Roman" w:cs="Times New Roman"/>
        </w:rPr>
        <w:t>Silyzer</w:t>
      </w:r>
      <w:proofErr w:type="spellEnd"/>
      <w:r w:rsidRPr="005600B1">
        <w:rPr>
          <w:rFonts w:ascii="Times New Roman" w:hAnsi="Times New Roman" w:cs="Times New Roman"/>
        </w:rPr>
        <w:t xml:space="preserve"> 300' </w:t>
      </w:r>
      <w:r w:rsidR="00E929C4" w:rsidRPr="005600B1">
        <w:rPr>
          <w:rFonts w:ascii="Times New Roman" w:hAnsi="Times New Roman" w:cs="Times New Roman"/>
        </w:rPr>
        <w:fldChar w:fldCharType="begin"/>
      </w:r>
      <w:r w:rsidR="00E929C4" w:rsidRPr="005600B1">
        <w:rPr>
          <w:rFonts w:ascii="Times New Roman" w:hAnsi="Times New Roman" w:cs="Times New Roman"/>
        </w:rPr>
        <w:instrText xml:space="preserve"> ADDIN ZOTERO_ITEM CSL_CITATION {"citationID":"kvp9AORQ","properties":{"formattedCitation":"[1]","plainCitation":"[1]","noteIndex":0},"citationItems":[{"id":4576,"uris":["http://zotero.org/users/9603144/items/EIIKNXG5"],"itemData":{"id":4576,"type":"webpage","abstract":"Find out what exciting projects Siemens Energy is supporting to accelerate the global energy transition.","language":"en","title":"Green hydrogen production","URL":"https://www.siemens-energy.com/global/en/home/products-services/product-offerings/hydrogen-solutions.html","author":[{"literal":"Siemens-Energy"}],"accessed":{"date-parts":[["2024",6,23]]},"issued":{"date-parts":[["2024"]]},"citation-key":"Siemens-Energy_2024_Green"}}],"schema":"https://github.com/citation-style-language/schema/raw/master/csl-citation.json"} </w:instrText>
      </w:r>
      <w:r w:rsidR="00E929C4" w:rsidRPr="005600B1">
        <w:rPr>
          <w:rFonts w:ascii="Times New Roman" w:hAnsi="Times New Roman" w:cs="Times New Roman"/>
        </w:rPr>
        <w:fldChar w:fldCharType="separate"/>
      </w:r>
      <w:r w:rsidR="00E929C4" w:rsidRPr="005600B1">
        <w:rPr>
          <w:rFonts w:ascii="Times New Roman" w:hAnsi="Times New Roman" w:cs="Times New Roman"/>
        </w:rPr>
        <w:t>[1]</w:t>
      </w:r>
      <w:r w:rsidR="00E929C4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, are provided in Table 1. To ensure the required quantity of </w:t>
      </w:r>
      <w:r w:rsidR="00CF5F43" w:rsidRPr="005600B1">
        <w:rPr>
          <w:rFonts w:ascii="Times New Roman" w:hAnsi="Times New Roman" w:cs="Times New Roman"/>
        </w:rPr>
        <w:t>hydrogen (</w:t>
      </w:r>
      <w:proofErr w:type="spellStart"/>
      <w:r w:rsidRPr="005600B1">
        <w:rPr>
          <w:rFonts w:ascii="Times New Roman" w:hAnsi="Times New Roman" w:cs="Times New Roman"/>
        </w:rPr>
        <w:t>H</w:t>
      </w:r>
      <w:r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) </w:t>
      </w:r>
      <w:r w:rsidRPr="005600B1">
        <w:rPr>
          <w:rFonts w:ascii="Times New Roman" w:hAnsi="Times New Roman" w:cs="Times New Roman"/>
        </w:rPr>
        <w:t>for the ironmaking stage, 25 PEM electrolysis arrays are stacked.</w:t>
      </w:r>
    </w:p>
    <w:p w14:paraId="43518A16" w14:textId="4D52D62F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</w:t>
      </w:r>
    </w:p>
    <w:p w14:paraId="7699ED98" w14:textId="468D35D6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the PEM Electrolyser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7E60F8" w:rsidRPr="005600B1" w14:paraId="1FC92462" w14:textId="77777777" w:rsidTr="00CF5F43">
        <w:trPr>
          <w:jc w:val="center"/>
        </w:trPr>
        <w:tc>
          <w:tcPr>
            <w:tcW w:w="675" w:type="dxa"/>
            <w:vAlign w:val="center"/>
          </w:tcPr>
          <w:p w14:paraId="08E86B35" w14:textId="542DBAE3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57658501" w14:textId="23DD6A8F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6CAC4C68" w14:textId="6CA35585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Power adjustable range</w:t>
            </w:r>
          </w:p>
        </w:tc>
        <w:tc>
          <w:tcPr>
            <w:tcW w:w="2268" w:type="dxa"/>
            <w:vAlign w:val="center"/>
          </w:tcPr>
          <w:p w14:paraId="28FC11D7" w14:textId="78381EC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Operational efficiency</w:t>
            </w:r>
          </w:p>
        </w:tc>
        <w:tc>
          <w:tcPr>
            <w:tcW w:w="2188" w:type="dxa"/>
            <w:vAlign w:val="center"/>
          </w:tcPr>
          <w:p w14:paraId="694539D9" w14:textId="7011119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production rate</w:t>
            </w:r>
          </w:p>
        </w:tc>
      </w:tr>
      <w:tr w:rsidR="007E60F8" w:rsidRPr="005600B1" w14:paraId="645212EB" w14:textId="77777777" w:rsidTr="00CF5F43">
        <w:trPr>
          <w:jc w:val="center"/>
        </w:trPr>
        <w:tc>
          <w:tcPr>
            <w:tcW w:w="675" w:type="dxa"/>
            <w:vAlign w:val="center"/>
          </w:tcPr>
          <w:p w14:paraId="02858252" w14:textId="7FA8915D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56E5388A" w14:textId="17195FD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17.5 MW</w:t>
            </w:r>
          </w:p>
        </w:tc>
        <w:tc>
          <w:tcPr>
            <w:tcW w:w="2410" w:type="dxa"/>
            <w:vAlign w:val="center"/>
          </w:tcPr>
          <w:p w14:paraId="32B6DB2E" w14:textId="768D3FF2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40%-100%</w:t>
            </w:r>
          </w:p>
        </w:tc>
        <w:tc>
          <w:tcPr>
            <w:tcW w:w="2268" w:type="dxa"/>
            <w:vAlign w:val="center"/>
          </w:tcPr>
          <w:p w14:paraId="2C034469" w14:textId="1C373464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2188" w:type="dxa"/>
            <w:vAlign w:val="center"/>
          </w:tcPr>
          <w:p w14:paraId="14643BAD" w14:textId="14BB714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335 kg/hour</w:t>
            </w:r>
          </w:p>
        </w:tc>
      </w:tr>
    </w:tbl>
    <w:p w14:paraId="36968427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0029E7CB" w14:textId="0B9A4E12" w:rsidR="007E60F8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specifications of each </w:t>
      </w:r>
      <w:proofErr w:type="spellStart"/>
      <w:r w:rsidR="00CF5F43" w:rsidRPr="005600B1">
        <w:rPr>
          <w:rFonts w:ascii="Times New Roman" w:hAnsi="Times New Roman" w:cs="Times New Roman"/>
        </w:rPr>
        <w:t>H</w:t>
      </w:r>
      <w:r w:rsidR="00CF5F43"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 tank (</w:t>
      </w:r>
      <w:r w:rsidRPr="005600B1">
        <w:rPr>
          <w:rFonts w:ascii="Times New Roman" w:hAnsi="Times New Roman" w:cs="Times New Roman"/>
        </w:rPr>
        <w:t>HT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unit, as detailed in Table </w:t>
      </w:r>
      <w:r w:rsidR="00721052" w:rsidRPr="005600B1">
        <w:rPr>
          <w:rFonts w:ascii="Times New Roman" w:hAnsi="Times New Roman" w:cs="Times New Roman"/>
        </w:rPr>
        <w:t>II</w:t>
      </w:r>
      <w:r w:rsidRPr="005600B1">
        <w:rPr>
          <w:rFonts w:ascii="Times New Roman" w:hAnsi="Times New Roman" w:cs="Times New Roman"/>
        </w:rPr>
        <w:t>, correspond to the GKN HYDROGEN product '</w:t>
      </w:r>
      <w:proofErr w:type="spellStart"/>
      <w:r w:rsidRPr="005600B1">
        <w:rPr>
          <w:rFonts w:ascii="Times New Roman" w:hAnsi="Times New Roman" w:cs="Times New Roman"/>
        </w:rPr>
        <w:t>HY2MEGA</w:t>
      </w:r>
      <w:proofErr w:type="spellEnd"/>
      <w:r w:rsidRPr="005600B1">
        <w:rPr>
          <w:rFonts w:ascii="Times New Roman" w:hAnsi="Times New Roman" w:cs="Times New Roman"/>
        </w:rPr>
        <w:t>'</w:t>
      </w:r>
      <w:r w:rsidR="00CF5F43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{"citationID":"v5R0bmuo","properties":{"formattedCitation":"[2]","plainCitation":"[2]","noteIndex":0},"citationItems":[{"id":4577,"uris":["http://zotero.org/users/9603144/items/ABYEDQWX"],"itemData":{"id":4577,"type":"webpage","abstract":"Get to know our products HY2MINI, HY2MEDI and HY2MEGA and discover your perfect Green Hydrogen Storage solution. Find your way to autarchy!","container-title":"GKN Hydrogen","language":"en","title":"Hydrogen Storage All-In-One-Solutions","URL":"https://www.gknhydrogen.com/product/","author":[{"literal":"GKN Hydrogen"}],"accessed":{"date-parts":[["2024",6,23]]},"issued":{"date-parts":[["2024"]]},"citation-key":"GKNHydrogen_2024_Hydrogen"}}],"schema":"https://github.com/citation-style-language/schema/raw/master/csl-citation.json"}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[2]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Ten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units are stacked to form an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for increased storage capacity. The operating range of the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is managed to prevent any degradation of lifespan caused by excessive release and storage.</w:t>
      </w:r>
    </w:p>
    <w:p w14:paraId="78B70B08" w14:textId="315DDEAC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</w:t>
      </w:r>
    </w:p>
    <w:p w14:paraId="212F308A" w14:textId="25AAA1F3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Hydrogen Tank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3260"/>
        <w:gridCol w:w="2754"/>
      </w:tblGrid>
      <w:tr w:rsidR="00CF5F43" w:rsidRPr="005600B1" w14:paraId="12CA6F8D" w14:textId="77777777" w:rsidTr="008A0414">
        <w:trPr>
          <w:jc w:val="center"/>
        </w:trPr>
        <w:tc>
          <w:tcPr>
            <w:tcW w:w="675" w:type="dxa"/>
            <w:vAlign w:val="center"/>
          </w:tcPr>
          <w:p w14:paraId="2A65D0B6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268" w:type="dxa"/>
            <w:vAlign w:val="center"/>
          </w:tcPr>
          <w:p w14:paraId="1F04A0E6" w14:textId="5414AA5E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Storage capacity</w:t>
            </w:r>
          </w:p>
        </w:tc>
        <w:tc>
          <w:tcPr>
            <w:tcW w:w="3260" w:type="dxa"/>
            <w:vAlign w:val="center"/>
          </w:tcPr>
          <w:p w14:paraId="0F9D55AC" w14:textId="42410F3C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Charging/Release flow rate</w:t>
            </w:r>
          </w:p>
        </w:tc>
        <w:tc>
          <w:tcPr>
            <w:tcW w:w="2754" w:type="dxa"/>
            <w:vAlign w:val="center"/>
          </w:tcPr>
          <w:p w14:paraId="21EC7137" w14:textId="6A7CCD1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Operational </w:t>
            </w:r>
            <w:r w:rsidR="008A0414" w:rsidRPr="005600B1">
              <w:rPr>
                <w:rFonts w:ascii="Times New Roman" w:hAnsi="Times New Roman" w:cs="Times New Roman"/>
              </w:rPr>
              <w:t>capacity range</w:t>
            </w:r>
          </w:p>
        </w:tc>
      </w:tr>
      <w:tr w:rsidR="00CF5F43" w:rsidRPr="005600B1" w14:paraId="5DBC2317" w14:textId="77777777" w:rsidTr="008A0414">
        <w:trPr>
          <w:jc w:val="center"/>
        </w:trPr>
        <w:tc>
          <w:tcPr>
            <w:tcW w:w="675" w:type="dxa"/>
            <w:vAlign w:val="center"/>
          </w:tcPr>
          <w:p w14:paraId="7B263EA0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2268" w:type="dxa"/>
            <w:vAlign w:val="center"/>
          </w:tcPr>
          <w:p w14:paraId="053D6821" w14:textId="592C5708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Max. 250 kg</w:t>
            </w:r>
          </w:p>
        </w:tc>
        <w:tc>
          <w:tcPr>
            <w:tcW w:w="3260" w:type="dxa"/>
            <w:vAlign w:val="center"/>
          </w:tcPr>
          <w:p w14:paraId="1FD071F6" w14:textId="2DAFE22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Max. 105 kg </w:t>
            </w: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="00DB1F14" w:rsidRPr="005600B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600B1">
              <w:rPr>
                <w:rFonts w:ascii="Times New Roman" w:hAnsi="Times New Roman" w:cs="Times New Roman"/>
              </w:rPr>
              <w:t>/hour</w:t>
            </w:r>
          </w:p>
        </w:tc>
        <w:tc>
          <w:tcPr>
            <w:tcW w:w="2754" w:type="dxa"/>
            <w:vAlign w:val="center"/>
          </w:tcPr>
          <w:p w14:paraId="1AB0B825" w14:textId="1FE6A5B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10%-</w:t>
            </w:r>
            <w:r w:rsidR="00CF5F43" w:rsidRPr="005600B1">
              <w:rPr>
                <w:rFonts w:ascii="Times New Roman" w:hAnsi="Times New Roman" w:cs="Times New Roman"/>
              </w:rPr>
              <w:t>90%</w:t>
            </w:r>
          </w:p>
        </w:tc>
      </w:tr>
    </w:tbl>
    <w:p w14:paraId="62AE14DC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2D198118" w14:textId="469AC7B5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the DRI shaft furnace, pertain to the </w:t>
      </w:r>
      <w:proofErr w:type="spellStart"/>
      <w:r w:rsidRPr="005600B1">
        <w:rPr>
          <w:rFonts w:ascii="Times New Roman" w:hAnsi="Times New Roman" w:cs="Times New Roman"/>
        </w:rPr>
        <w:t>MIDREX</w:t>
      </w:r>
      <w:proofErr w:type="spellEnd"/>
      <w:r w:rsidRPr="005600B1">
        <w:rPr>
          <w:rFonts w:ascii="Times New Roman" w:hAnsi="Times New Roman" w:cs="Times New Roman"/>
        </w:rPr>
        <w:t xml:space="preserve"> shaft furnace introduced by</w:t>
      </w:r>
      <w:r w:rsidR="00721052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{"citationID":"ltfE4koC","properties":{"formattedCitation":"[3]","plainCitation":"[3]","noteIndex":0},"citationItems":[{"id":4579,"uris":["http://zotero.org/users/9603144/items/DQRA6LVP"],"itemData":{"id":4579,"type":"webpage","container-title":"Direct from MIDREX","language":"en","title":"Direct from MIDREX","URL":"https://www.midrex.com/tech-article/midrex-direct-reduction-plants-2022-operations-summary/","author":[{"literal":"MIDREX Technologies, Inc."}],"accessed":{"date-parts":[["2024",6,23]]},"citation-key":"MIDREXTechnologiesInc.__Direct"}}],"schema":"https://github.com/citation-style-language/schema/raw/master/csl-citation.json"}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[3]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The technical parameters of the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>, listed in Table</w:t>
      </w:r>
      <w:r w:rsidR="00721052" w:rsidRPr="005600B1">
        <w:rPr>
          <w:rFonts w:ascii="Times New Roman" w:hAnsi="Times New Roman" w:cs="Times New Roman"/>
        </w:rPr>
        <w:t xml:space="preserve"> III</w:t>
      </w:r>
      <w:r w:rsidRPr="005600B1">
        <w:rPr>
          <w:rFonts w:ascii="Times New Roman" w:hAnsi="Times New Roman" w:cs="Times New Roman"/>
        </w:rPr>
        <w:t xml:space="preserve">, are associated with the DANIELI </w:t>
      </w:r>
      <w:proofErr w:type="spellStart"/>
      <w:r w:rsidRPr="005600B1">
        <w:rPr>
          <w:rFonts w:ascii="Times New Roman" w:hAnsi="Times New Roman" w:cs="Times New Roman"/>
        </w:rPr>
        <w:t>ZEROBUCKET</w:t>
      </w:r>
      <w:proofErr w:type="spellEnd"/>
      <w:r w:rsidRPr="005600B1">
        <w:rPr>
          <w:rFonts w:ascii="Times New Roman" w:hAnsi="Times New Roman" w:cs="Times New Roman"/>
        </w:rPr>
        <w:t xml:space="preserve">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 xml:space="preserve"> technology</w:t>
      </w:r>
      <w:r w:rsidR="00E929C4" w:rsidRPr="005600B1">
        <w:rPr>
          <w:rFonts w:ascii="Times New Roman" w:hAnsi="Times New Roman" w:cs="Times New Roman"/>
        </w:rPr>
        <w:t xml:space="preserve"> </w:t>
      </w:r>
      <w:r w:rsidR="005600B1" w:rsidRPr="005600B1">
        <w:rPr>
          <w:rFonts w:ascii="Times New Roman" w:hAnsi="Times New Roman" w:cs="Times New Roman"/>
        </w:rPr>
        <w:fldChar w:fldCharType="begin"/>
      </w:r>
      <w:r w:rsidR="005600B1" w:rsidRPr="005600B1">
        <w:rPr>
          <w:rFonts w:ascii="Times New Roman" w:hAnsi="Times New Roman" w:cs="Times New Roman"/>
        </w:rPr>
        <w:instrText xml:space="preserve"> ADDIN ZOTERO_ITEM CSL_CITATION {"citationID":"6TtKAJ6P","properties":{"formattedCitation":"[4]","plainCitation":"[4]","noteIndex":0},"citationItems":[{"id":4583,"uris":["http://zotero.org/users/9603144/items/VBS4TAKC"],"itemData":{"id":4583,"type":"webpage","language":"en","title":"Electric Arc Furnaces","URL":"https://www.danieli.com/en/products/products-processes-and-technologies/electric-arc-furnace_26_83.htm","author":[{"literal":"DANIELI"}],"accessed":{"date-parts":[["2024",6,23]]},"citation-key":"DANIELI__Electric"}}],"schema":"https://github.com/citation-style-language/schema/raw/master/csl-citation.json"} </w:instrText>
      </w:r>
      <w:r w:rsidR="005600B1"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[4]</w:t>
      </w:r>
      <w:r w:rsidR="005600B1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>.</w:t>
      </w:r>
    </w:p>
    <w:p w14:paraId="57F9C5CF" w14:textId="17582375" w:rsidR="008A0414" w:rsidRPr="005600B1" w:rsidRDefault="008A0414" w:rsidP="008A04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III</w:t>
      </w:r>
    </w:p>
    <w:p w14:paraId="242685FF" w14:textId="0E1682E7" w:rsidR="008A0414" w:rsidRPr="005600B1" w:rsidRDefault="008A0414" w:rsidP="008A04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 xml:space="preserve">Technical Parameters of </w:t>
      </w:r>
      <w:r w:rsidR="00DB1F14" w:rsidRPr="005600B1">
        <w:rPr>
          <w:rFonts w:ascii="Times New Roman" w:hAnsi="Times New Roman" w:cs="Times New Roman"/>
          <w:smallCaps/>
        </w:rPr>
        <w:t>Electric Arc Furnace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DB1F14" w:rsidRPr="005600B1" w14:paraId="2AA195FE" w14:textId="77777777" w:rsidTr="00A27688">
        <w:trPr>
          <w:jc w:val="center"/>
        </w:trPr>
        <w:tc>
          <w:tcPr>
            <w:tcW w:w="675" w:type="dxa"/>
            <w:vAlign w:val="center"/>
          </w:tcPr>
          <w:p w14:paraId="5D03968B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6DB33E3E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1067B202" w14:textId="7E31D0B5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Equipment efficiency</w:t>
            </w:r>
          </w:p>
        </w:tc>
        <w:tc>
          <w:tcPr>
            <w:tcW w:w="2268" w:type="dxa"/>
            <w:vAlign w:val="center"/>
          </w:tcPr>
          <w:p w14:paraId="7524B656" w14:textId="2D55756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 per batch</w:t>
            </w:r>
          </w:p>
        </w:tc>
        <w:tc>
          <w:tcPr>
            <w:tcW w:w="2188" w:type="dxa"/>
            <w:vAlign w:val="center"/>
          </w:tcPr>
          <w:p w14:paraId="1C74099D" w14:textId="255565F0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Processing time</w:t>
            </w:r>
          </w:p>
        </w:tc>
      </w:tr>
      <w:tr w:rsidR="00DB1F14" w:rsidRPr="005600B1" w14:paraId="6C95FA3E" w14:textId="77777777" w:rsidTr="00A27688">
        <w:trPr>
          <w:jc w:val="center"/>
        </w:trPr>
        <w:tc>
          <w:tcPr>
            <w:tcW w:w="675" w:type="dxa"/>
            <w:vAlign w:val="center"/>
          </w:tcPr>
          <w:p w14:paraId="1403EF78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760678ED" w14:textId="34885C8F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228 MW</w:t>
            </w:r>
          </w:p>
        </w:tc>
        <w:tc>
          <w:tcPr>
            <w:tcW w:w="2410" w:type="dxa"/>
            <w:vAlign w:val="center"/>
          </w:tcPr>
          <w:p w14:paraId="715A0DFC" w14:textId="015907C3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68" w:type="dxa"/>
            <w:vAlign w:val="center"/>
          </w:tcPr>
          <w:p w14:paraId="26D78059" w14:textId="24DF4DC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240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2188" w:type="dxa"/>
            <w:vAlign w:val="center"/>
          </w:tcPr>
          <w:p w14:paraId="34639D4A" w14:textId="49297D21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60 min</w:t>
            </w:r>
          </w:p>
        </w:tc>
      </w:tr>
    </w:tbl>
    <w:p w14:paraId="2B075AAD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15B08B6C" w14:textId="3CB38EA1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Based on stoichiometric principles, the mass dependencies of the H2-DRI-EAF process are given in Table</w:t>
      </w:r>
      <w:r w:rsidR="00721052" w:rsidRPr="005600B1">
        <w:rPr>
          <w:rFonts w:ascii="Times New Roman" w:hAnsi="Times New Roman" w:cs="Times New Roman"/>
        </w:rPr>
        <w:t xml:space="preserve"> IV.</w:t>
      </w:r>
    </w:p>
    <w:p w14:paraId="70F1BE2F" w14:textId="59BE7D00" w:rsidR="00DB1F14" w:rsidRPr="005600B1" w:rsidRDefault="00DB1F14" w:rsidP="00DB1F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IV</w:t>
      </w:r>
    </w:p>
    <w:p w14:paraId="051A0E35" w14:textId="7E7BABEE" w:rsidR="00DB1F14" w:rsidRPr="005600B1" w:rsidRDefault="00DB1F14" w:rsidP="00DB1F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Stoichiometric Balance of each Process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1985"/>
        <w:gridCol w:w="1337"/>
      </w:tblGrid>
      <w:tr w:rsidR="00721052" w:rsidRPr="005600B1" w14:paraId="41C527A9" w14:textId="77777777" w:rsidTr="00721052">
        <w:trPr>
          <w:jc w:val="center"/>
        </w:trPr>
        <w:tc>
          <w:tcPr>
            <w:tcW w:w="2235" w:type="dxa"/>
            <w:vMerge w:val="restart"/>
            <w:vAlign w:val="center"/>
          </w:tcPr>
          <w:p w14:paraId="539FC7EB" w14:textId="15B1023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3685" w:type="dxa"/>
            <w:gridSpan w:val="2"/>
            <w:vAlign w:val="center"/>
          </w:tcPr>
          <w:p w14:paraId="34080575" w14:textId="729DCDDB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322" w:type="dxa"/>
            <w:gridSpan w:val="2"/>
            <w:vAlign w:val="center"/>
          </w:tcPr>
          <w:p w14:paraId="75510F4E" w14:textId="1ADAB0B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Output</w:t>
            </w:r>
          </w:p>
        </w:tc>
      </w:tr>
      <w:tr w:rsidR="00721052" w:rsidRPr="005600B1" w14:paraId="433E3C4E" w14:textId="77777777" w:rsidTr="00721052">
        <w:trPr>
          <w:jc w:val="center"/>
        </w:trPr>
        <w:tc>
          <w:tcPr>
            <w:tcW w:w="2235" w:type="dxa"/>
            <w:vMerge/>
            <w:vAlign w:val="center"/>
          </w:tcPr>
          <w:p w14:paraId="6FAAF4A1" w14:textId="7777777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C77A9DF" w14:textId="0CDF86C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701" w:type="dxa"/>
            <w:vAlign w:val="center"/>
          </w:tcPr>
          <w:p w14:paraId="65BC7A58" w14:textId="7B164158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85" w:type="dxa"/>
            <w:vAlign w:val="center"/>
          </w:tcPr>
          <w:p w14:paraId="0AAE73DD" w14:textId="41994A2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337" w:type="dxa"/>
            <w:vAlign w:val="center"/>
          </w:tcPr>
          <w:p w14:paraId="619F9C5B" w14:textId="30BE354D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</w:tr>
      <w:tr w:rsidR="00721052" w:rsidRPr="005600B1" w14:paraId="2430B8CB" w14:textId="77777777" w:rsidTr="00721052">
        <w:trPr>
          <w:jc w:val="center"/>
        </w:trPr>
        <w:tc>
          <w:tcPr>
            <w:tcW w:w="2235" w:type="dxa"/>
            <w:vAlign w:val="center"/>
          </w:tcPr>
          <w:p w14:paraId="438F4FD7" w14:textId="3C1D4EEB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 production</w:t>
            </w:r>
          </w:p>
        </w:tc>
        <w:tc>
          <w:tcPr>
            <w:tcW w:w="1984" w:type="dxa"/>
            <w:vAlign w:val="center"/>
          </w:tcPr>
          <w:p w14:paraId="6BF6D5F3" w14:textId="2CCD1BD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1701" w:type="dxa"/>
            <w:vAlign w:val="center"/>
          </w:tcPr>
          <w:p w14:paraId="777ACC3A" w14:textId="2178FF8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9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1985" w:type="dxa"/>
            <w:vAlign w:val="center"/>
          </w:tcPr>
          <w:p w14:paraId="3CF9BE23" w14:textId="278695D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337" w:type="dxa"/>
            <w:vAlign w:val="center"/>
          </w:tcPr>
          <w:p w14:paraId="5400224D" w14:textId="2A50AD9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032F44E4" w14:textId="77777777" w:rsidTr="00721052">
        <w:trPr>
          <w:jc w:val="center"/>
        </w:trPr>
        <w:tc>
          <w:tcPr>
            <w:tcW w:w="2235" w:type="dxa"/>
            <w:vAlign w:val="center"/>
          </w:tcPr>
          <w:p w14:paraId="6A4F1A1E" w14:textId="2F99CBBF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reduction</w:t>
            </w:r>
          </w:p>
        </w:tc>
        <w:tc>
          <w:tcPr>
            <w:tcW w:w="1984" w:type="dxa"/>
            <w:vAlign w:val="center"/>
          </w:tcPr>
          <w:p w14:paraId="77A9DF0A" w14:textId="46EAB57A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701" w:type="dxa"/>
            <w:vAlign w:val="center"/>
          </w:tcPr>
          <w:p w14:paraId="4ADE8349" w14:textId="6E1D7B0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0.051 tonne</w:t>
            </w:r>
          </w:p>
        </w:tc>
        <w:tc>
          <w:tcPr>
            <w:tcW w:w="1985" w:type="dxa"/>
            <w:vAlign w:val="center"/>
          </w:tcPr>
          <w:p w14:paraId="555F5CB6" w14:textId="6CFF18A0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337" w:type="dxa"/>
            <w:vAlign w:val="center"/>
          </w:tcPr>
          <w:p w14:paraId="4674A01D" w14:textId="07B6221E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100AD975" w14:textId="77777777" w:rsidTr="00721052">
        <w:trPr>
          <w:jc w:val="center"/>
        </w:trPr>
        <w:tc>
          <w:tcPr>
            <w:tcW w:w="2235" w:type="dxa"/>
            <w:vAlign w:val="center"/>
          </w:tcPr>
          <w:p w14:paraId="0B4A7D82" w14:textId="473D4234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EAF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steelmaking</w:t>
            </w:r>
          </w:p>
        </w:tc>
        <w:tc>
          <w:tcPr>
            <w:tcW w:w="1984" w:type="dxa"/>
            <w:vAlign w:val="center"/>
          </w:tcPr>
          <w:p w14:paraId="43BD9262" w14:textId="3FDAACC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701" w:type="dxa"/>
            <w:vAlign w:val="center"/>
          </w:tcPr>
          <w:p w14:paraId="5AA58F3E" w14:textId="4843E2D3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  <w:tc>
          <w:tcPr>
            <w:tcW w:w="1985" w:type="dxa"/>
            <w:vAlign w:val="center"/>
          </w:tcPr>
          <w:p w14:paraId="1C752EF8" w14:textId="27C26DA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</w:t>
            </w:r>
          </w:p>
        </w:tc>
        <w:tc>
          <w:tcPr>
            <w:tcW w:w="1337" w:type="dxa"/>
            <w:vAlign w:val="center"/>
          </w:tcPr>
          <w:p w14:paraId="569793B8" w14:textId="466C402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</w:tbl>
    <w:p w14:paraId="1A22F7ED" w14:textId="77777777" w:rsidR="00721052" w:rsidRPr="005600B1" w:rsidRDefault="00721052" w:rsidP="007E60F8">
      <w:pPr>
        <w:rPr>
          <w:rFonts w:ascii="Times New Roman" w:hAnsi="Times New Roman" w:cs="Times New Roman"/>
        </w:rPr>
      </w:pPr>
    </w:p>
    <w:p w14:paraId="46DC330C" w14:textId="2BB62320" w:rsidR="00721052" w:rsidRPr="005600B1" w:rsidRDefault="00721052" w:rsidP="007E60F8">
      <w:pPr>
        <w:rPr>
          <w:rFonts w:ascii="Times New Roman" w:hAnsi="Times New Roman" w:cs="Times New Roman"/>
          <w:b/>
          <w:bCs/>
        </w:rPr>
      </w:pPr>
      <w:r w:rsidRPr="005600B1">
        <w:rPr>
          <w:rFonts w:ascii="Times New Roman" w:hAnsi="Times New Roman" w:cs="Times New Roman"/>
          <w:b/>
          <w:bCs/>
        </w:rPr>
        <w:t>References:</w:t>
      </w:r>
    </w:p>
    <w:p w14:paraId="1147A71B" w14:textId="77777777" w:rsidR="005600B1" w:rsidRPr="005600B1" w:rsidRDefault="00E929C4" w:rsidP="005600B1">
      <w:pPr>
        <w:pStyle w:val="Bibliography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begin"/>
      </w:r>
      <w:r w:rsidRPr="005600B1">
        <w:rPr>
          <w:rFonts w:ascii="Times New Roman" w:hAnsi="Times New Roman" w:cs="Times New Roman"/>
        </w:rPr>
        <w:instrText xml:space="preserve"> ADDIN ZOTERO_BIBL {"uncited":[],"omitted":[],"custom":[]} CSL_BIBLIOGRAPHY </w:instrText>
      </w:r>
      <w:r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[1]</w:t>
      </w:r>
      <w:r w:rsidR="005600B1" w:rsidRPr="005600B1">
        <w:rPr>
          <w:rFonts w:ascii="Times New Roman" w:hAnsi="Times New Roman" w:cs="Times New Roman"/>
        </w:rPr>
        <w:tab/>
        <w:t>Siemens-Energy, ‘Green hydrogen production’. Accessed: Jun. 23, 2024. [Online]. Available: https://www.siemens-energy.com/global/en/home/products-services/product-offerings/hydrogen-solutions.html</w:t>
      </w:r>
    </w:p>
    <w:p w14:paraId="04E278D3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[2]</w:t>
      </w:r>
      <w:r w:rsidRPr="005600B1">
        <w:rPr>
          <w:rFonts w:ascii="Times New Roman" w:hAnsi="Times New Roman" w:cs="Times New Roman"/>
        </w:rPr>
        <w:tab/>
        <w:t>GKN Hydrogen, ‘Hydrogen Storage All-In-One-Solutions’, GKN Hydrogen. Accessed: Jun. 23, 2024. [Online]. Available: https://www.gknhydrogen.com/product/</w:t>
      </w:r>
    </w:p>
    <w:p w14:paraId="7F41EB19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lastRenderedPageBreak/>
        <w:t>[3]</w:t>
      </w:r>
      <w:r w:rsidRPr="005600B1">
        <w:rPr>
          <w:rFonts w:ascii="Times New Roman" w:hAnsi="Times New Roman" w:cs="Times New Roman"/>
        </w:rPr>
        <w:tab/>
        <w:t>MIDREX Technologies, Inc., ‘Direct from MIDREX’, Direct from MIDREX. Accessed: Jun. 23, 2024. [Online]. Available: https://www.midrex.com/tech-article/midrex-direct-reduction-plants-2022-operations-summary/</w:t>
      </w:r>
    </w:p>
    <w:p w14:paraId="1EE523FB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[4]</w:t>
      </w:r>
      <w:r w:rsidRPr="005600B1">
        <w:rPr>
          <w:rFonts w:ascii="Times New Roman" w:hAnsi="Times New Roman" w:cs="Times New Roman"/>
        </w:rPr>
        <w:tab/>
        <w:t>DANIELI, ‘Electric Arc Furnaces’. Accessed: Jun. 23, 2024. [Online]. Available: https://www.danieli.com/en/products/products-processes-and-technologies/electric-arc-furnace_26_83.htm</w:t>
      </w:r>
    </w:p>
    <w:p w14:paraId="4464B8A1" w14:textId="3B691454" w:rsidR="00E929C4" w:rsidRPr="005600B1" w:rsidRDefault="00E929C4" w:rsidP="005600B1">
      <w:pPr>
        <w:spacing w:line="360" w:lineRule="auto"/>
        <w:ind w:left="72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end"/>
      </w:r>
    </w:p>
    <w:sectPr w:rsidR="00E929C4" w:rsidRPr="0056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0489A"/>
    <w:multiLevelType w:val="multilevel"/>
    <w:tmpl w:val="B0AE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E5231B"/>
    <w:multiLevelType w:val="multilevel"/>
    <w:tmpl w:val="E32813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1288762">
    <w:abstractNumId w:val="0"/>
  </w:num>
  <w:num w:numId="2" w16cid:durableId="429666054">
    <w:abstractNumId w:val="0"/>
  </w:num>
  <w:num w:numId="3" w16cid:durableId="148080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D80"/>
    <w:rsid w:val="00455E60"/>
    <w:rsid w:val="005600B1"/>
    <w:rsid w:val="005B2F8A"/>
    <w:rsid w:val="006B10D5"/>
    <w:rsid w:val="006B6A0E"/>
    <w:rsid w:val="00721052"/>
    <w:rsid w:val="007E60F8"/>
    <w:rsid w:val="007F217F"/>
    <w:rsid w:val="008A0414"/>
    <w:rsid w:val="009024DF"/>
    <w:rsid w:val="009C5D80"/>
    <w:rsid w:val="00A76E7C"/>
    <w:rsid w:val="00C823F7"/>
    <w:rsid w:val="00CF5F43"/>
    <w:rsid w:val="00DB1F14"/>
    <w:rsid w:val="00E90514"/>
    <w:rsid w:val="00E929C4"/>
    <w:rsid w:val="00F8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34D4"/>
  <w15:chartTrackingRefBased/>
  <w15:docId w15:val="{F287AA2F-8DC0-4D5A-B466-211182F8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E7C"/>
    <w:pPr>
      <w:keepNext/>
      <w:numPr>
        <w:numId w:val="3"/>
      </w:numPr>
      <w:spacing w:before="240" w:line="252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BodyTextIndent"/>
    <w:next w:val="Normal"/>
    <w:link w:val="Heading3Char"/>
    <w:autoRedefine/>
    <w:uiPriority w:val="9"/>
    <w:unhideWhenUsed/>
    <w:qFormat/>
    <w:rsid w:val="00A76E7C"/>
    <w:pPr>
      <w:numPr>
        <w:ilvl w:val="2"/>
        <w:numId w:val="2"/>
      </w:numPr>
      <w:spacing w:before="120" w:line="252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Heading_2"/>
    <w:basedOn w:val="DefaultParagraphFont"/>
    <w:uiPriority w:val="19"/>
    <w:qFormat/>
    <w:rsid w:val="00A76E7C"/>
    <w:rPr>
      <w:rFonts w:ascii="Times New Roman" w:hAnsi="Times New Roman" w:cs="Times New Roman"/>
      <w:i/>
      <w:iCs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6E7C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76E7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76E7C"/>
  </w:style>
  <w:style w:type="paragraph" w:customStyle="1" w:styleId="Tabletitle">
    <w:name w:val="Table_title"/>
    <w:basedOn w:val="Normal"/>
    <w:link w:val="TabletitleChar"/>
    <w:qFormat/>
    <w:rsid w:val="00A76E7C"/>
    <w:pPr>
      <w:spacing w:before="120" w:after="0" w:line="252" w:lineRule="auto"/>
      <w:jc w:val="center"/>
    </w:pPr>
    <w:rPr>
      <w:rFonts w:ascii="Times New Roman" w:hAnsi="Times New Roman"/>
      <w:sz w:val="24"/>
    </w:rPr>
  </w:style>
  <w:style w:type="character" w:customStyle="1" w:styleId="TabletitleChar">
    <w:name w:val="Table_title Char"/>
    <w:basedOn w:val="DefaultParagraphFont"/>
    <w:link w:val="Tabletitle"/>
    <w:rsid w:val="00A76E7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E7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D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9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Su</dc:creator>
  <cp:keywords/>
  <dc:description/>
  <cp:lastModifiedBy>Pengfei Su</cp:lastModifiedBy>
  <cp:revision>2</cp:revision>
  <dcterms:created xsi:type="dcterms:W3CDTF">2024-06-23T20:49:00Z</dcterms:created>
  <dcterms:modified xsi:type="dcterms:W3CDTF">2024-06-23T20:49:00Z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id="oPm4ZkaH"/&gt;&lt;style id="http://www.zotero.org/styles/ieee" locale="en-GB" hasBibliography="1" bibliographyStyleHasBeenSet="1"/&gt;&lt;prefs&gt;&lt;pref name="fieldType" value="Field"/&gt;&lt;/prefs&gt;&lt;/data&gt;</vt:lpwstr>
  </property>
</Properties>
</file>