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7.png" ContentType="image/png"/>
  <Override PartName="/word/media/rId32.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Documentação das Dimensões do Índice de Qualidade Parlamentar</w:t>
      </w:r>
    </w:p>
    <w:bookmarkStart w:id="9" w:name="o-índice-de-qualidade-parlamentar-iqp"/>
    <w:p>
      <w:pPr>
        <w:pStyle w:val="Heading1"/>
      </w:pPr>
      <w:r>
        <w:t xml:space="preserve">O Índice de Qualidade Parlamentar (IQP)</w:t>
      </w:r>
    </w:p>
    <w:p>
      <w:pPr>
        <w:pStyle w:val="FirstParagraph"/>
      </w:pPr>
      <w:r>
        <w:t xml:space="preserve">A avaliação da qualidade da representação política é uma tarefa complexa que transcende a simples análise de votações ou da produção legislativa. Um mandato parlamentar envolve múltiplas dimensões, desde a capacidade de atuação nas estruturas de poder do Legislativo até a forma como o representante se comunica com a sociedade e reflete sua composição demográfica. Com o objetivo de oferecer uma análise mais holística e multifacetada do desempenho parlamentar, propomos o</w:t>
      </w:r>
      <w:r>
        <w:t xml:space="preserve"> </w:t>
      </w:r>
      <w:r>
        <w:rPr>
          <w:b/>
          <w:bCs/>
        </w:rPr>
        <w:t xml:space="preserve">Índice de Qualidade Parlamentar (IQP)</w:t>
      </w:r>
      <w:r>
        <w:t xml:space="preserve">, um indicador composto que agrega quatro dimensões distintas e complementares da atuação dos deputados federais brasileiros.</w:t>
      </w:r>
    </w:p>
    <w:p>
      <w:pPr>
        <w:pStyle w:val="BodyText"/>
      </w:pPr>
      <w:r>
        <w:t xml:space="preserve">O IQP foi concebido para fornecer uma visão integrada, estruturando-se a partir dos seguintes pilares:</w:t>
      </w:r>
    </w:p>
    <w:p>
      <w:pPr>
        <w:numPr>
          <w:ilvl w:val="0"/>
          <w:numId w:val="1001"/>
        </w:numPr>
      </w:pPr>
      <w:r>
        <w:rPr>
          <w:b/>
          <w:bCs/>
        </w:rPr>
        <w:t xml:space="preserve">Índice de Profissionalização do Parlamentar (IPP):</w:t>
      </w:r>
      <w:r>
        <w:t xml:space="preserve"> </w:t>
      </w:r>
      <w:r>
        <w:t xml:space="preserve">Avalia a trajetória e a especialização do parlamentar dentro do Congresso Nacional. Esta dimensão mensura o acúmulo de experiência e a influência institucional, considerando variáveis relacionadas à carreira legislativa e à ocupação de posições estratégicas, como a participação em mesas diretoras, lideranças e comissões.</w:t>
      </w:r>
    </w:p>
    <w:p>
      <w:pPr>
        <w:numPr>
          <w:ilvl w:val="0"/>
          <w:numId w:val="1001"/>
        </w:numPr>
      </w:pPr>
      <w:r>
        <w:rPr>
          <w:b/>
          <w:bCs/>
        </w:rPr>
        <w:t xml:space="preserve">Índice de Representação Descritiva (IRD):</w:t>
      </w:r>
      <w:r>
        <w:t xml:space="preserve"> </w:t>
      </w:r>
      <w:r>
        <w:t xml:space="preserve">Mede o grau de alinhamento entre o perfil demográfico do parlamento e o da população brasileira. Focado em características como gênero e raça, o IRD quantifica quão bem a Câmara dos Deputados espelha a diversidade da sociedade que representa, um elemento fundamental para a legitimidade do sistema político.</w:t>
      </w:r>
    </w:p>
    <w:p>
      <w:pPr>
        <w:numPr>
          <w:ilvl w:val="0"/>
          <w:numId w:val="1001"/>
        </w:numPr>
      </w:pPr>
      <w:r>
        <w:rPr>
          <w:b/>
          <w:bCs/>
        </w:rPr>
        <w:t xml:space="preserve">Índice de Representação Substantiva (IRS):</w:t>
      </w:r>
      <w:r>
        <w:t xml:space="preserve"> </w:t>
      </w:r>
      <w:r>
        <w:t xml:space="preserve">Analisa a coerência das pautas defendidas pelo parlamentar em suas comunicações públicas. Por meio da análise semântica de postagens em redes sociais, este índice mensura a consistência temática do discurso, indicando o quão focado e estável é o deputado na defesa de determinadas causas e grupos sociais.</w:t>
      </w:r>
    </w:p>
    <w:p>
      <w:pPr>
        <w:numPr>
          <w:ilvl w:val="0"/>
          <w:numId w:val="1001"/>
        </w:numPr>
      </w:pPr>
      <w:r>
        <w:rPr>
          <w:b/>
          <w:bCs/>
        </w:rPr>
        <w:t xml:space="preserve">Índice de Falar Sincero (IFS):</w:t>
      </w:r>
      <w:r>
        <w:t xml:space="preserve"> </w:t>
      </w:r>
      <w:r>
        <w:t xml:space="preserve">(em desenvolvimento) Afere o compromisso do parlamentar com a veracidade no debate público. O IFS mede a frequência com que os deputados disseminam conteúdos associados a narrativas de desinformação, penalizando aqueles que mais contribuem para a poluição do ambiente informacional.</w:t>
      </w:r>
    </w:p>
    <w:p>
      <w:pPr>
        <w:pStyle w:val="FirstParagraph"/>
      </w:pPr>
      <w:r>
        <w:t xml:space="preserve">Ao combinar essas quatro dimensões — profissionalização, representatividade demográfica, coerência discursiva e integridade informacional — o IQP oferece uma ferramenta robusta para uma análise mais rica e detalhada da qualidade parlamentar. As seções a seguir apresentam em detalhes a metodologia de cálculo de cada um dos índices que compõem o IQP.</w:t>
      </w:r>
    </w:p>
    <w:p>
      <w:pPr>
        <w:pStyle w:val="BodyText"/>
      </w:pPr>
      <w:r>
        <w:t xml:space="preserve">Este documento tem como objetivo apresentar de forma detalhada a metodologia por trás do IQP. A exposição está organizada da seguinte forma: inicialmente, são descritos os quatro pilares que compõem o índice, explicitando a relevância de cada um para a avaliação da qualidade parlamentar. Em seguida, as seções subsequentes são dedicadas a aprofundar a construção de cada indicador individualmente: o Índice de Profissionalização do Parlamentar (IPP), o Índice de Representação Descritiva (IRD), o Índice de Representação Substantiva (IRS) e, por fim, o Índice de Falar Sincero (IFS). Cada seção abordará as fontes de dados, as variáveis utilizadas e os procedimentos de cálculo específicos.</w:t>
      </w:r>
    </w:p>
    <w:bookmarkEnd w:id="9"/>
    <w:bookmarkStart w:id="23" w:name="X169f47704475e96edad45e0754556f81fb35ec4"/>
    <w:p>
      <w:pPr>
        <w:pStyle w:val="Heading1"/>
      </w:pPr>
      <w:r>
        <w:t xml:space="preserve">Índice de Profissionalização do Parlamentar (IPP)</w:t>
      </w:r>
    </w:p>
    <w:p>
      <w:pPr>
        <w:pStyle w:val="FirstParagraph"/>
      </w:pPr>
      <w:r>
        <w:t xml:space="preserve">O Índice de Profissionalização do Parlamentar (IPP) é um indicador sintético que avalia a profissionalização parlamentar. Ele é composto por sete variáveis, distribuídas em duas dimensões analíticas:</w:t>
      </w:r>
    </w:p>
    <w:p>
      <w:pPr>
        <w:numPr>
          <w:ilvl w:val="0"/>
          <w:numId w:val="1002"/>
        </w:numPr>
      </w:pPr>
      <w:r>
        <w:rPr>
          <w:b/>
          <w:bCs/>
        </w:rPr>
        <w:t xml:space="preserve">Especialização legislativa</w:t>
      </w:r>
      <w:r>
        <w:t xml:space="preserve">: presença na Mesa Diretora, no Colégio de Líderes, na presidência de comissões e na relatoria de proposições;</w:t>
      </w:r>
    </w:p>
    <w:p>
      <w:pPr>
        <w:numPr>
          <w:ilvl w:val="0"/>
          <w:numId w:val="1002"/>
        </w:numPr>
      </w:pPr>
      <w:r>
        <w:rPr>
          <w:b/>
          <w:bCs/>
        </w:rPr>
        <w:t xml:space="preserve">Carreira parlamentar</w:t>
      </w:r>
      <w:r>
        <w:t xml:space="preserve">: acúmulo de mandatos legislativos subnacionais, tempo de atuação na Câmara dos Deputados e fidelidade ao Congresso Nacional.</w:t>
      </w:r>
    </w:p>
    <w:p>
      <w:pPr>
        <w:pStyle w:val="FirstParagraph"/>
      </w:pPr>
      <w:r>
        <w:t xml:space="preserve">O Quadro</w:t>
      </w:r>
      <w:r>
        <w:t xml:space="preserve"> </w:t>
      </w:r>
      <w:hyperlink w:anchor="tab:ipp_vars">
        <w:r>
          <w:rPr>
            <w:rStyle w:val="Hyperlink"/>
          </w:rPr>
          <w:t xml:space="preserve">[tab:ipp_vars]</w:t>
        </w:r>
      </w:hyperlink>
      <w:r>
        <w:t xml:space="preserve"> </w:t>
      </w:r>
      <w:r>
        <w:t xml:space="preserve">apresenta as variáveis e seus respectivos pesos derivados da AFE.</w:t>
      </w:r>
    </w:p>
    <w:p>
      <w:pPr>
        <w:pStyle w:val="BodyText"/>
      </w:pPr>
      <w:bookmarkStart w:id="10" w:name="tab:ipp_vars"/>
      <w:bookmarkEnd w:id="10"/>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p>
        </w:tc>
        <w:tc>
          <w:tcPr/>
          <w:p>
            <w:pPr>
              <w:pStyle w:val="Compact"/>
              <w:jc w:val="left"/>
            </w:pPr>
            <w:r>
              <w:rPr>
                <w:b/>
                <w:bCs/>
              </w:rPr>
              <w:t xml:space="preserve">Variável</w:t>
            </w:r>
          </w:p>
        </w:tc>
        <w:tc>
          <w:tcPr/>
          <w:p>
            <w:pPr>
              <w:pStyle w:val="Compact"/>
              <w:jc w:val="center"/>
            </w:pPr>
            <w:r>
              <w:rPr>
                <w:b/>
                <w:bCs/>
              </w:rPr>
              <w:t xml:space="preserve">Peso</w:t>
            </w:r>
          </w:p>
        </w:tc>
        <w:tc>
          <w:tcPr/>
          <w:p>
            <w:pPr>
              <w:pStyle w:val="Compact"/>
              <w:jc w:val="left"/>
            </w:pPr>
            <w:r>
              <w:rPr>
                <w:b/>
                <w:bCs/>
              </w:rPr>
              <w:t xml:space="preserve">Fórmula</w:t>
            </w:r>
          </w:p>
        </w:tc>
        <w:tc>
          <w:tcPr/>
          <w:p>
            <w:pPr>
              <w:pStyle w:val="Compact"/>
              <w:jc w:val="left"/>
            </w:pPr>
            <w:r>
              <w:rPr>
                <w:b/>
                <w:bCs/>
              </w:rPr>
              <w:t xml:space="preserve">Explicação das variáveis</w:t>
            </w:r>
          </w:p>
        </w:tc>
      </w:tr>
      <w:tr>
        <w:tc>
          <w:tcPr>
            <w:gridSpan w:val="5"/>
          </w:tcPr>
          <w:p>
            <w:pPr>
              <w:pStyle w:val="Compact"/>
              <w:jc w:val="left"/>
            </w:pPr>
            <w:r>
              <w:rPr>
                <w:b/>
                <w:bCs/>
              </w:rPr>
              <w:t xml:space="preserve">Especialização Legislativa</w:t>
            </w:r>
            <w:r>
              <w:t xml:space="preserve"> </w:t>
            </w:r>
            <w:r>
              <w:t xml:space="preserve">(</w:t>
            </w:r>
            <m:oMath>
              <m:sSub>
                <m:e>
                  <m:r>
                    <m:t>E</m:t>
                  </m:r>
                </m:e>
                <m:sub>
                  <m:r>
                    <m:t>i</m:t>
                  </m:r>
                  <m:r>
                    <m:t>t</m:t>
                  </m:r>
                </m:sub>
              </m:sSub>
            </m:oMath>
            <w:r>
              <w:t xml:space="preserve">)</w:t>
            </w:r>
          </w:p>
        </w:tc>
      </w:tr>
      <w:tr>
        <w:tc>
          <w:tcPr/>
          <w:p>
            <w:pPr>
              <w:pStyle w:val="Compact"/>
            </w:pPr>
          </w:p>
        </w:tc>
        <w:tc>
          <w:tcPr/>
          <w:p>
            <w:pPr>
              <w:pStyle w:val="Compact"/>
              <w:jc w:val="left"/>
            </w:pPr>
            <w:r>
              <w:t xml:space="preserve">Mesa Diretora (</w:t>
            </w:r>
            <m:oMath>
              <m:r>
                <m:t>M</m:t>
              </m:r>
              <m:r>
                <m:t>e</m:t>
              </m:r>
              <m:r>
                <m:t>s</m:t>
              </m:r>
              <m:sSub>
                <m:e>
                  <m:r>
                    <m:t>a</m:t>
                  </m:r>
                </m:e>
                <m:sub>
                  <m:r>
                    <m:t>i</m:t>
                  </m:r>
                  <m:r>
                    <m:t>t</m:t>
                  </m:r>
                </m:sub>
              </m:sSub>
            </m:oMath>
            <w:r>
              <w:t xml:space="preserve">)</w:t>
            </w:r>
          </w:p>
        </w:tc>
        <w:tc>
          <w:tcPr/>
          <w:p>
            <w:pPr>
              <w:pStyle w:val="Compact"/>
              <w:jc w:val="center"/>
            </w:pPr>
            <w:r>
              <w:t xml:space="preserve">5</w:t>
            </w:r>
          </w:p>
        </w:tc>
        <w:tc>
          <w:tcPr/>
          <w:p>
            <w:pPr>
              <w:pStyle w:val="Compact"/>
              <w:jc w:val="left"/>
            </w:pPr>
            <m:oMath>
              <m:r>
                <m:t>C</m:t>
              </m:r>
              <m:r>
                <m:t>a</m:t>
              </m:r>
              <m:r>
                <m:t>r</m:t>
              </m:r>
              <m:r>
                <m:t>g</m:t>
              </m:r>
              <m:r>
                <m:t>o</m:t>
              </m:r>
              <m:sSub>
                <m:e>
                  <m:r>
                    <m:t>1</m:t>
                  </m:r>
                </m:e>
                <m:sub>
                  <m:r>
                    <m:t>i</m:t>
                  </m:r>
                  <m:r>
                    <m:t>t</m:t>
                  </m:r>
                </m:sub>
              </m:sSub>
            </m:oMath>
          </w:p>
        </w:tc>
        <w:tc>
          <w:tcPr/>
          <w:p>
            <w:pPr>
              <w:pStyle w:val="Compact"/>
              <w:jc w:val="left"/>
            </w:pPr>
            <w:r>
              <w:t xml:space="preserve">Dummy que assume valor 1 se o parlamentar ocupou cargo na Mesa Diretora na legislatura</w:t>
            </w:r>
            <w:r>
              <w:t xml:space="preserve"> </w:t>
            </w:r>
            <m:oMath>
              <m:r>
                <m:t>t</m:t>
              </m:r>
            </m:oMath>
            <w:r>
              <w:t xml:space="preserve">, e 0 caso contrário.</w:t>
            </w:r>
          </w:p>
        </w:tc>
      </w:tr>
      <w:tr>
        <w:tc>
          <w:tcPr/>
          <w:p>
            <w:pPr>
              <w:pStyle w:val="Compact"/>
              <w:jc w:val="left"/>
            </w:pPr>
            <w:r>
              <w:t xml:space="preserve">2-5</w:t>
            </w:r>
          </w:p>
        </w:tc>
        <w:tc>
          <w:tcPr/>
          <w:p>
            <w:pPr>
              <w:pStyle w:val="Compact"/>
              <w:jc w:val="left"/>
            </w:pPr>
            <w:r>
              <w:t xml:space="preserve">Colégio de Líderes (</w:t>
            </w:r>
            <m:oMath>
              <m:r>
                <m:t>P</m:t>
              </m:r>
              <m:r>
                <m:t>o</m:t>
              </m:r>
              <m:r>
                <m:t>s</m:t>
              </m:r>
              <m:r>
                <m:t>i</m:t>
              </m:r>
              <m:r>
                <m:t>ç</m:t>
              </m:r>
              <m:r>
                <m:t>ã</m:t>
              </m:r>
              <m:r>
                <m:t>o</m:t>
              </m:r>
              <m:r>
                <m:t>L</m:t>
              </m:r>
              <m:r>
                <m:t>í</m:t>
              </m:r>
              <m:r>
                <m:t>d</m:t>
              </m:r>
              <m:r>
                <m:t>e</m:t>
              </m:r>
              <m:sSub>
                <m:e>
                  <m:r>
                    <m:t>r</m:t>
                  </m:r>
                </m:e>
                <m:sub>
                  <m:r>
                    <m:t>i</m:t>
                  </m:r>
                  <m:r>
                    <m:t>t</m:t>
                  </m:r>
                </m:sub>
              </m:sSub>
            </m:oMath>
            <w:r>
              <w:t xml:space="preserve">)</w:t>
            </w:r>
          </w:p>
        </w:tc>
        <w:tc>
          <w:tcPr/>
          <w:p>
            <w:pPr>
              <w:pStyle w:val="Compact"/>
              <w:jc w:val="center"/>
            </w:pPr>
            <w:r>
              <w:t xml:space="preserve">4</w:t>
            </w:r>
          </w:p>
        </w:tc>
        <w:tc>
          <w:tcPr/>
          <w:p>
            <w:pPr>
              <w:pStyle w:val="Compact"/>
              <w:jc w:val="left"/>
            </w:pPr>
            <m:oMath>
              <m:nary>
                <m:naryPr>
                  <m:chr m:val="∑"/>
                  <m:limLoc m:val="undOvr"/>
                  <m:subHide m:val="off"/>
                  <m:supHide m:val="off"/>
                </m:naryPr>
                <m:sub>
                  <m:r>
                    <m:t>b</m:t>
                  </m:r>
                  <m:r>
                    <m:rPr>
                      <m:sty m:val="p"/>
                    </m:rPr>
                    <m:t>=</m:t>
                  </m:r>
                  <m:r>
                    <m:t>1</m:t>
                  </m:r>
                </m:sub>
                <m:sup>
                  <m:r>
                    <m:t>B</m:t>
                  </m:r>
                </m:sup>
                <m:e>
                  <m:r>
                    <m:t>L</m:t>
                  </m:r>
                </m:e>
              </m:nary>
              <m:r>
                <m:t>i</m:t>
              </m:r>
              <m:r>
                <m:t>d</m:t>
              </m:r>
              <m:r>
                <m:t>e</m:t>
              </m:r>
              <m:sSub>
                <m:e>
                  <m:r>
                    <m:t>r</m:t>
                  </m:r>
                </m:e>
                <m:sub>
                  <m:r>
                    <m:t>i</m:t>
                  </m:r>
                  <m:r>
                    <m:t>b</m:t>
                  </m:r>
                  <m:r>
                    <m:t>t</m:t>
                  </m:r>
                </m:sub>
              </m:sSub>
            </m:oMath>
          </w:p>
        </w:tc>
        <w:tc>
          <w:tcPr/>
          <w:p>
            <w:pPr>
              <w:pStyle w:val="Compact"/>
              <w:jc w:val="left"/>
            </w:pPr>
            <w:r>
              <w:t xml:space="preserve">Dummy que assume valor 1 se o parlamentar ocupou cargo de liderança do bloco/partido</w:t>
            </w:r>
            <w:r>
              <w:t xml:space="preserve"> </w:t>
            </w:r>
            <m:oMath>
              <m:r>
                <m:t>b</m:t>
              </m:r>
            </m:oMath>
            <w:r>
              <w:t xml:space="preserve"> </w:t>
            </w:r>
            <w:r>
              <w:t xml:space="preserve">na legislatura</w:t>
            </w:r>
            <w:r>
              <w:t xml:space="preserve"> </w:t>
            </w:r>
            <m:oMath>
              <m:r>
                <m:t>t</m:t>
              </m:r>
            </m:oMath>
            <w:r>
              <w:t xml:space="preserve">, e 0 caso contrário.</w:t>
            </w:r>
          </w:p>
        </w:tc>
      </w:tr>
      <w:tr>
        <w:tc>
          <w:tcPr/>
          <w:p>
            <w:pPr>
              <w:pStyle w:val="Compact"/>
              <w:jc w:val="left"/>
            </w:pPr>
            <w:r>
              <w:t xml:space="preserve">2-5</w:t>
            </w:r>
          </w:p>
        </w:tc>
        <w:tc>
          <w:tcPr/>
          <w:p>
            <w:pPr>
              <w:pStyle w:val="Compact"/>
              <w:jc w:val="left"/>
            </w:pPr>
            <w:r>
              <w:t xml:space="preserve">Presidência de Comissão (</w:t>
            </w:r>
            <m:oMath>
              <m:r>
                <m:t>P</m:t>
              </m:r>
              <m:r>
                <m:t>r</m:t>
              </m:r>
              <m:r>
                <m:t>d</m:t>
              </m:r>
              <m:r>
                <m:t>C</m:t>
              </m:r>
              <m:r>
                <m:t>o</m:t>
              </m:r>
              <m:r>
                <m:t>m</m:t>
              </m:r>
              <m:r>
                <m:t>i</m:t>
              </m:r>
              <m:sSub>
                <m:e>
                  <m:r>
                    <m:t>s</m:t>
                  </m:r>
                </m:e>
                <m:sub>
                  <m:r>
                    <m:t>i</m:t>
                  </m:r>
                  <m:r>
                    <m:t>t</m:t>
                  </m:r>
                </m:sub>
              </m:sSub>
            </m:oMath>
            <w:r>
              <w:t xml:space="preserve">)</w:t>
            </w:r>
          </w:p>
        </w:tc>
        <w:tc>
          <w:tcPr/>
          <w:p>
            <w:pPr>
              <w:pStyle w:val="Compact"/>
              <w:jc w:val="center"/>
            </w:pPr>
            <w:r>
              <w:t xml:space="preserve">3</w:t>
            </w:r>
          </w:p>
        </w:tc>
        <w:tc>
          <w:tcPr/>
          <w:p>
            <w:pPr>
              <w:pStyle w:val="Compact"/>
              <w:jc w:val="left"/>
            </w:pPr>
            <m:oMath>
              <m:nary>
                <m:naryPr>
                  <m:chr m:val="∑"/>
                  <m:limLoc m:val="undOvr"/>
                  <m:subHide m:val="off"/>
                  <m:supHide m:val="off"/>
                </m:naryPr>
                <m:sub>
                  <m:r>
                    <m:t>c</m:t>
                  </m:r>
                  <m:r>
                    <m:rPr>
                      <m:sty m:val="p"/>
                    </m:rPr>
                    <m:t>=</m:t>
                  </m:r>
                  <m:r>
                    <m:t>1</m:t>
                  </m:r>
                </m:sub>
                <m:sup>
                  <m:r>
                    <m:t>C</m:t>
                  </m:r>
                </m:sup>
                <m:e>
                  <m:r>
                    <m:t>P</m:t>
                  </m:r>
                </m:e>
              </m:nary>
              <m:r>
                <m:t>r</m:t>
              </m:r>
              <m:r>
                <m:t>e</m:t>
              </m:r>
              <m:r>
                <m:t>s</m:t>
              </m:r>
              <m:r>
                <m:t>i</m:t>
              </m:r>
              <m:r>
                <m:t>d</m:t>
              </m:r>
              <m:r>
                <m:t>e</m:t>
              </m:r>
              <m:r>
                <m:t>n</m:t>
              </m:r>
              <m:r>
                <m:t>t</m:t>
              </m:r>
              <m:sSub>
                <m:e>
                  <m:r>
                    <m:t>e</m:t>
                  </m:r>
                </m:e>
                <m:sub>
                  <m:r>
                    <m:t>i</m:t>
                  </m:r>
                  <m:r>
                    <m:t>c</m:t>
                  </m:r>
                  <m:r>
                    <m:t>t</m:t>
                  </m:r>
                </m:sub>
              </m:sSub>
            </m:oMath>
          </w:p>
        </w:tc>
        <w:tc>
          <w:tcPr/>
          <w:p>
            <w:pPr>
              <w:pStyle w:val="Compact"/>
              <w:jc w:val="left"/>
            </w:pPr>
            <w:r>
              <w:t xml:space="preserve">Dummy que assume valor 1 se o parlamentar presidiu a comissão</w:t>
            </w:r>
            <w:r>
              <w:t xml:space="preserve"> </w:t>
            </w:r>
            <m:oMath>
              <m:r>
                <m:t>c</m:t>
              </m:r>
            </m:oMath>
            <w:r>
              <w:t xml:space="preserve"> </w:t>
            </w:r>
            <w:r>
              <w:t xml:space="preserve">na legislatura</w:t>
            </w:r>
            <w:r>
              <w:t xml:space="preserve"> </w:t>
            </w:r>
            <m:oMath>
              <m:r>
                <m:t>t</m:t>
              </m:r>
            </m:oMath>
            <w:r>
              <w:t xml:space="preserve">, e 0 caso contrário.</w:t>
            </w:r>
          </w:p>
        </w:tc>
      </w:tr>
      <w:tr>
        <w:tc>
          <w:tcPr/>
          <w:p>
            <w:pPr>
              <w:pStyle w:val="Compact"/>
              <w:jc w:val="left"/>
            </w:pPr>
            <w:r>
              <w:t xml:space="preserve">2-5</w:t>
            </w:r>
          </w:p>
        </w:tc>
        <w:tc>
          <w:tcPr/>
          <w:p>
            <w:pPr>
              <w:pStyle w:val="Compact"/>
              <w:jc w:val="left"/>
            </w:pPr>
            <w:r>
              <w:t xml:space="preserve">Relatoria de Comissão (</w:t>
            </w:r>
            <m:oMath>
              <m:r>
                <m:t>R</m:t>
              </m:r>
              <m:r>
                <m:t>e</m:t>
              </m:r>
              <m:r>
                <m:t>l</m:t>
              </m:r>
              <m:r>
                <m:t>a</m:t>
              </m:r>
              <m:r>
                <m:t>t</m:t>
              </m:r>
              <m:r>
                <m:t>o</m:t>
              </m:r>
              <m:r>
                <m:t>r</m:t>
              </m:r>
              <m:r>
                <m:t>i</m:t>
              </m:r>
              <m:sSub>
                <m:e>
                  <m:r>
                    <m:t>a</m:t>
                  </m:r>
                </m:e>
                <m:sub>
                  <m:r>
                    <m:t>i</m:t>
                  </m:r>
                  <m:r>
                    <m:t>t</m:t>
                  </m:r>
                </m:sub>
              </m:sSub>
            </m:oMath>
            <w:r>
              <w:t xml:space="preserve">)</w:t>
            </w:r>
          </w:p>
        </w:tc>
        <w:tc>
          <w:tcPr/>
          <w:p>
            <w:pPr>
              <w:pStyle w:val="Compact"/>
              <w:jc w:val="center"/>
            </w:pPr>
            <w:r>
              <w:t xml:space="preserve">2</w:t>
            </w:r>
          </w:p>
        </w:tc>
        <w:tc>
          <w:tcPr/>
          <w:p>
            <w:pPr>
              <w:pStyle w:val="Compact"/>
              <w:jc w:val="left"/>
            </w:pPr>
            <m:oMath>
              <m:r>
                <m:t>P</m:t>
              </m:r>
              <m:r>
                <m:t>R</m:t>
              </m:r>
              <m:sSub>
                <m:e>
                  <m:r>
                    <m:t>L</m:t>
                  </m:r>
                </m:e>
                <m:sub>
                  <m:r>
                    <m:t>i</m:t>
                  </m:r>
                  <m:r>
                    <m:t>t</m:t>
                  </m:r>
                </m:sub>
              </m:sSub>
            </m:oMath>
          </w:p>
        </w:tc>
        <w:tc>
          <w:tcPr/>
          <w:p>
            <w:pPr>
              <w:pStyle w:val="Compact"/>
              <w:jc w:val="left"/>
            </w:pPr>
            <m:oMath>
              <m:r>
                <m:t>P</m:t>
              </m:r>
              <m:r>
                <m:t>R</m:t>
              </m:r>
              <m:sSub>
                <m:e>
                  <m:r>
                    <m:t>L</m:t>
                  </m:r>
                </m:e>
                <m:sub>
                  <m:r>
                    <m:t>i</m:t>
                  </m:r>
                  <m:r>
                    <m:t>t</m:t>
                  </m:r>
                </m:sub>
              </m:sSub>
            </m:oMath>
            <w:r>
              <w:t xml:space="preserve">: total de Pareceres de Relatoria emitidos pelo parlamentar</w:t>
            </w:r>
            <w:r>
              <w:t xml:space="preserve"> </w:t>
            </w:r>
            <m:oMath>
              <m:r>
                <m:t>i</m:t>
              </m:r>
            </m:oMath>
            <w:r>
              <w:t xml:space="preserve"> </w:t>
            </w:r>
            <w:r>
              <w:t xml:space="preserve">na legislatura</w:t>
            </w:r>
            <w:r>
              <w:t xml:space="preserve"> </w:t>
            </w:r>
            <m:oMath>
              <m:r>
                <m:t>t</m:t>
              </m:r>
            </m:oMath>
            <w:r>
              <w:t xml:space="preserve">.</w:t>
            </w:r>
          </w:p>
        </w:tc>
      </w:tr>
      <w:tr>
        <w:tc>
          <w:tcPr>
            <w:gridSpan w:val="5"/>
          </w:tcPr>
          <w:p>
            <w:pPr>
              <w:pStyle w:val="Compact"/>
              <w:jc w:val="left"/>
            </w:pPr>
            <w:r>
              <w:rPr>
                <w:b/>
                <w:bCs/>
              </w:rPr>
              <w:t xml:space="preserve">Carreira parlamentar</w:t>
            </w:r>
            <w:r>
              <w:t xml:space="preserve"> </w:t>
            </w:r>
            <w:r>
              <w:t xml:space="preserve">(</w:t>
            </w:r>
            <m:oMath>
              <m:sSub>
                <m:e>
                  <m:r>
                    <m:t>C</m:t>
                  </m:r>
                </m:e>
                <m:sub>
                  <m:r>
                    <m:t>i</m:t>
                  </m:r>
                  <m:r>
                    <m:t>t</m:t>
                  </m:r>
                </m:sub>
              </m:sSub>
            </m:oMath>
            <w:r>
              <w:t xml:space="preserve">)</w:t>
            </w:r>
          </w:p>
        </w:tc>
      </w:tr>
      <w:tr>
        <w:tc>
          <w:tcPr/>
          <w:p>
            <w:pPr>
              <w:pStyle w:val="Compact"/>
            </w:pPr>
          </w:p>
        </w:tc>
        <w:tc>
          <w:tcPr/>
          <w:p>
            <w:pPr>
              <w:pStyle w:val="Compact"/>
              <w:jc w:val="left"/>
            </w:pPr>
            <w:r>
              <w:t xml:space="preserve">Vereador e Deputado Estadual (</w:t>
            </w:r>
            <m:oMath>
              <m:r>
                <m:t>M</m:t>
              </m:r>
              <m:r>
                <m:t>a</m:t>
              </m:r>
              <m:r>
                <m:t>n</m:t>
              </m:r>
              <m:r>
                <m:t>d</m:t>
              </m:r>
              <m:r>
                <m:t>a</m:t>
              </m:r>
              <m:r>
                <m:t>t</m:t>
              </m:r>
              <m:sSub>
                <m:e>
                  <m:r>
                    <m:t>o</m:t>
                  </m:r>
                </m:e>
                <m:sub>
                  <m:r>
                    <m:t>S</m:t>
                  </m:r>
                  <m:r>
                    <m:t>U</m:t>
                  </m:r>
                  <m:sSub>
                    <m:e>
                      <m:r>
                        <m:t>B</m:t>
                      </m:r>
                    </m:e>
                    <m:sub>
                      <m:r>
                        <m:t>i</m:t>
                      </m:r>
                      <m:r>
                        <m:t>t</m:t>
                      </m:r>
                    </m:sub>
                  </m:sSub>
                </m:sub>
              </m:sSub>
            </m:oMath>
            <w:r>
              <w:t xml:space="preserve">)</w:t>
            </w:r>
          </w:p>
        </w:tc>
        <w:tc>
          <w:tcPr/>
          <w:p>
            <w:pPr>
              <w:pStyle w:val="Compact"/>
              <w:jc w:val="center"/>
            </w:pPr>
            <w:r>
              <w:t xml:space="preserve">1</w:t>
            </w:r>
          </w:p>
        </w:tc>
        <w:tc>
          <w:tcPr/>
          <w:p>
            <w:pPr>
              <w:pStyle w:val="Compact"/>
              <w:jc w:val="left"/>
            </w:pPr>
            <m:oMath>
              <m:nary>
                <m:naryPr>
                  <m:chr m:val="∑"/>
                  <m:limLoc m:val="undOvr"/>
                  <m:subHide m:val="off"/>
                  <m:supHide m:val="off"/>
                </m:naryPr>
                <m:sub>
                  <m:r>
                    <m:t>e</m:t>
                  </m:r>
                  <m:r>
                    <m:rPr>
                      <m:sty m:val="p"/>
                    </m:rPr>
                    <m:t>=</m:t>
                  </m:r>
                  <m:r>
                    <m:t>1</m:t>
                  </m:r>
                </m:sub>
                <m:sup>
                  <m:r>
                    <m:t>E</m:t>
                  </m:r>
                </m:sup>
                <m:e>
                  <m:r>
                    <m:t>M</m:t>
                  </m:r>
                </m:e>
              </m:nary>
              <m:r>
                <m:t>V</m:t>
              </m:r>
              <m:r>
                <m:t>E</m:t>
              </m:r>
              <m:sSub>
                <m:e>
                  <m:r>
                    <m:t>R</m:t>
                  </m:r>
                </m:e>
                <m:sub>
                  <m:r>
                    <m:t>i</m:t>
                  </m:r>
                  <m:r>
                    <m:t>e</m:t>
                  </m:r>
                </m:sub>
              </m:sSub>
            </m:oMath>
          </w:p>
        </w:tc>
        <w:tc>
          <w:tcPr/>
          <w:p>
            <w:pPr>
              <w:pStyle w:val="Compact"/>
              <w:jc w:val="left"/>
            </w:pPr>
            <w:r>
              <w:t xml:space="preserve">Dummy que assume valor 1 se o parlamentar exerceu mandato subnacional antes da legislatura</w:t>
            </w:r>
            <w:r>
              <w:t xml:space="preserve"> </w:t>
            </w:r>
            <m:oMath>
              <m:r>
                <m:t>t</m:t>
              </m:r>
            </m:oMath>
            <w:r>
              <w:t xml:space="preserve">, e 0 caso contrário.</w:t>
            </w:r>
          </w:p>
        </w:tc>
      </w:tr>
      <w:tr>
        <w:tc>
          <w:tcPr/>
          <w:p>
            <w:pPr>
              <w:pStyle w:val="Compact"/>
              <w:jc w:val="left"/>
            </w:pPr>
            <w:r>
              <w:t xml:space="preserve">2-5</w:t>
            </w:r>
          </w:p>
        </w:tc>
        <w:tc>
          <w:tcPr/>
          <w:p>
            <w:pPr>
              <w:pStyle w:val="Compact"/>
              <w:jc w:val="left"/>
            </w:pPr>
            <w:r>
              <w:t xml:space="preserve">Tempo de atuação (</w:t>
            </w:r>
            <m:oMath>
              <m:r>
                <m:t>T</m:t>
              </m:r>
              <m:r>
                <m:t>e</m:t>
              </m:r>
              <m:r>
                <m:t>m</m:t>
              </m:r>
              <m:r>
                <m:t>p</m:t>
              </m:r>
              <m:r>
                <m:t>o</m:t>
              </m:r>
              <m:r>
                <m:t>A</m:t>
              </m:r>
              <m:r>
                <m:t>t</m:t>
              </m:r>
              <m:r>
                <m:t>u</m:t>
              </m:r>
              <m:r>
                <m:t>a</m:t>
              </m:r>
              <m:r>
                <m:t>ç</m:t>
              </m:r>
              <m:r>
                <m:t>ã</m:t>
              </m:r>
              <m:sSub>
                <m:e>
                  <m:r>
                    <m:t>o</m:t>
                  </m:r>
                </m:e>
                <m:sub>
                  <m:r>
                    <m:t>i</m:t>
                  </m:r>
                  <m:r>
                    <m:t>t</m:t>
                  </m:r>
                </m:sub>
              </m:sSub>
            </m:oMath>
            <w:r>
              <w:t xml:space="preserve">)</w:t>
            </w:r>
          </w:p>
        </w:tc>
        <w:tc>
          <w:tcPr/>
          <w:p>
            <w:pPr>
              <w:pStyle w:val="Compact"/>
              <w:jc w:val="center"/>
            </w:pPr>
            <w:r>
              <w:t xml:space="preserve">1</w:t>
            </w:r>
          </w:p>
        </w:tc>
        <w:tc>
          <w:tcPr/>
          <w:p>
            <w:pPr>
              <w:pStyle w:val="Compact"/>
              <w:jc w:val="left"/>
            </w:pPr>
            <m:oMath>
              <m:nary>
                <m:naryPr>
                  <m:chr m:val="∑"/>
                  <m:limLoc m:val="undOvr"/>
                  <m:subHide m:val="off"/>
                  <m:supHide m:val="off"/>
                </m:naryPr>
                <m:sub>
                  <m:r>
                    <m:t>d</m:t>
                  </m:r>
                  <m:r>
                    <m:rPr>
                      <m:sty m:val="p"/>
                    </m:rPr>
                    <m:t>=</m:t>
                  </m:r>
                  <m:r>
                    <m:t>1</m:t>
                  </m:r>
                </m:sub>
                <m:sup>
                  <m:sSub>
                    <m:e>
                      <m:r>
                        <m:t>D</m:t>
                      </m:r>
                    </m:e>
                    <m:sub>
                      <m:r>
                        <m:t>t</m:t>
                      </m:r>
                    </m:sub>
                  </m:sSub>
                </m:sup>
                <m:e>
                  <m:r>
                    <m:t>E</m:t>
                  </m:r>
                </m:e>
              </m:nary>
              <m:r>
                <m:t>x</m:t>
              </m:r>
              <m:sSub>
                <m:e>
                  <m:r>
                    <m:t>c</m:t>
                  </m:r>
                </m:e>
                <m:sub>
                  <m:r>
                    <m:t>i</m:t>
                  </m:r>
                  <m:r>
                    <m:t>d</m:t>
                  </m:r>
                </m:sub>
              </m:sSub>
            </m:oMath>
          </w:p>
        </w:tc>
        <w:tc>
          <w:tcPr/>
          <w:p>
            <w:pPr>
              <w:pStyle w:val="Compact"/>
              <w:jc w:val="left"/>
            </w:pPr>
            <m:oMath>
              <m:r>
                <m:t>E</m:t>
              </m:r>
              <m:r>
                <m:t>x</m:t>
              </m:r>
              <m:sSub>
                <m:e>
                  <m:r>
                    <m:t>c</m:t>
                  </m:r>
                </m:e>
                <m:sub>
                  <m:r>
                    <m:t>i</m:t>
                  </m:r>
                  <m:r>
                    <m:t>d</m:t>
                  </m:r>
                </m:sub>
              </m:sSub>
            </m:oMath>
            <w:r>
              <w:t xml:space="preserve"> </w:t>
            </w:r>
            <w:r>
              <w:t xml:space="preserve">é uma dummy que assume valor 1 se o parlamentar estava ativo na data</w:t>
            </w:r>
            <w:r>
              <w:t xml:space="preserve"> </w:t>
            </w:r>
            <m:oMath>
              <m:r>
                <m:t>d</m:t>
              </m:r>
            </m:oMath>
            <w:r>
              <w:t xml:space="preserve">, e 0 caso contrário.</w:t>
            </w:r>
            <w:r>
              <w:t xml:space="preserve"> </w:t>
            </w:r>
            <m:oMath>
              <m:sSub>
                <m:e>
                  <m:r>
                    <m:t>D</m:t>
                  </m:r>
                </m:e>
                <m:sub>
                  <m:r>
                    <m:t>t</m:t>
                  </m:r>
                </m:sub>
              </m:sSub>
            </m:oMath>
            <w:r>
              <w:t xml:space="preserve"> </w:t>
            </w:r>
            <w:r>
              <w:t xml:space="preserve">é o número total de dias da legislatura</w:t>
            </w:r>
            <w:r>
              <w:t xml:space="preserve"> </w:t>
            </w:r>
            <m:oMath>
              <m:r>
                <m:t>t</m:t>
              </m:r>
            </m:oMath>
            <w:r>
              <w:t xml:space="preserve">. Assim</w:t>
            </w:r>
            <w:r>
              <w:t xml:space="preserve"> </w:t>
            </w:r>
            <m:oMath>
              <m:r>
                <m:t>T</m:t>
              </m:r>
              <m:r>
                <m:t>e</m:t>
              </m:r>
              <m:r>
                <m:t>m</m:t>
              </m:r>
              <m:r>
                <m:t>p</m:t>
              </m:r>
              <m:r>
                <m:t>o</m:t>
              </m:r>
              <m:r>
                <m:t>A</m:t>
              </m:r>
              <m:r>
                <m:t>t</m:t>
              </m:r>
              <m:r>
                <m:t>u</m:t>
              </m:r>
              <m:r>
                <m:t>a</m:t>
              </m:r>
              <m:r>
                <m:t>ç</m:t>
              </m:r>
              <m:r>
                <m:t>ã</m:t>
              </m:r>
              <m:sSub>
                <m:e>
                  <m:r>
                    <m:t>o</m:t>
                  </m:r>
                </m:e>
                <m:sub>
                  <m:r>
                    <m:t>i</m:t>
                  </m:r>
                  <m:r>
                    <m:t>t</m:t>
                  </m:r>
                </m:sub>
              </m:sSub>
            </m:oMath>
            <w:r>
              <w:t xml:space="preserve"> </w:t>
            </w:r>
            <w:r>
              <w:t xml:space="preserve">é o total de dias que o parlamentar esteve ativo na legislatura</w:t>
            </w:r>
            <w:r>
              <w:t xml:space="preserve"> </w:t>
            </w:r>
            <m:oMath>
              <m:r>
                <m:t>t</m:t>
              </m:r>
            </m:oMath>
            <w:r>
              <w:t xml:space="preserve">.</w:t>
            </w:r>
          </w:p>
        </w:tc>
      </w:tr>
      <w:tr>
        <w:tc>
          <w:tcPr/>
          <w:p>
            <w:pPr>
              <w:pStyle w:val="Compact"/>
              <w:jc w:val="left"/>
            </w:pPr>
            <w:r>
              <w:t xml:space="preserve">2-5</w:t>
            </w:r>
          </w:p>
        </w:tc>
        <w:tc>
          <w:tcPr/>
          <w:p>
            <w:pPr>
              <w:pStyle w:val="Compact"/>
              <w:jc w:val="left"/>
            </w:pPr>
            <w:r>
              <w:t xml:space="preserve">Gerais (</w:t>
            </w:r>
            <m:oMath>
              <m:r>
                <m:t>F</m:t>
              </m:r>
              <m:r>
                <m:t>i</m:t>
              </m:r>
              <m:r>
                <m:t>d</m:t>
              </m:r>
              <m:r>
                <m:t>G</m:t>
              </m:r>
              <m:r>
                <m:t>e</m:t>
              </m:r>
              <m:r>
                <m:t>r</m:t>
              </m:r>
              <m:r>
                <m:t>a</m:t>
              </m:r>
              <m:r>
                <m:t>i</m:t>
              </m:r>
              <m:sSub>
                <m:e>
                  <m:r>
                    <m:t>s</m:t>
                  </m:r>
                </m:e>
                <m:sub>
                  <m:r>
                    <m:t>i</m:t>
                  </m:r>
                  <m:r>
                    <m:t>t</m:t>
                  </m:r>
                </m:sub>
              </m:sSub>
            </m:oMath>
            <w:r>
              <w:t xml:space="preserve">)</w:t>
            </w:r>
          </w:p>
        </w:tc>
        <w:tc>
          <w:tcPr/>
          <w:p>
            <w:pPr>
              <w:pStyle w:val="Compact"/>
              <w:jc w:val="center"/>
            </w:pPr>
            <w:r>
              <w:t xml:space="preserve">1</w:t>
            </w:r>
          </w:p>
        </w:tc>
        <w:tc>
          <w:tcPr/>
          <w:p>
            <w:pPr>
              <w:pStyle w:val="Compact"/>
              <w:jc w:val="left"/>
            </w:pPr>
            <m:oMath>
              <m:nary>
                <m:naryPr>
                  <m:chr m:val="∑"/>
                  <m:limLoc m:val="undOvr"/>
                  <m:subHide m:val="off"/>
                  <m:supHide m:val="off"/>
                </m:naryPr>
                <m:sub>
                  <m:r>
                    <m:t>e</m:t>
                  </m:r>
                  <m:r>
                    <m:rPr>
                      <m:sty m:val="p"/>
                    </m:rPr>
                    <m:t>=</m:t>
                  </m:r>
                  <m:r>
                    <m:t>1</m:t>
                  </m:r>
                </m:sub>
                <m:sup>
                  <m:r>
                    <m:t>E</m:t>
                  </m:r>
                </m:sup>
                <m:e>
                  <m:r>
                    <m:t>C</m:t>
                  </m:r>
                </m:e>
              </m:nary>
              <m:r>
                <m:t>o</m:t>
              </m:r>
              <m:r>
                <m:t>n</m:t>
              </m:r>
              <m:r>
                <m:t>c</m:t>
              </m:r>
              <m:r>
                <m:t>G</m:t>
              </m:r>
              <m:r>
                <m:t>e</m:t>
              </m:r>
              <m:r>
                <m:t>r</m:t>
              </m:r>
              <m:r>
                <m:t>a</m:t>
              </m:r>
              <m:r>
                <m:t>i</m:t>
              </m:r>
              <m:sSub>
                <m:e>
                  <m:r>
                    <m:t>s</m:t>
                  </m:r>
                </m:e>
                <m:sub>
                  <m:r>
                    <m:t>i</m:t>
                  </m:r>
                  <m:r>
                    <m:t>e</m:t>
                  </m:r>
                </m:sub>
              </m:sSub>
            </m:oMath>
          </w:p>
        </w:tc>
        <w:tc>
          <w:tcPr/>
          <w:p>
            <w:pPr>
              <w:pStyle w:val="Compact"/>
              <w:jc w:val="left"/>
            </w:pPr>
            <w:r>
              <w:t xml:space="preserve">Dummy que assume valor 1 se o parlamentar concorreu para cargos no Congresso entre início e fim da legislatura</w:t>
            </w:r>
            <w:r>
              <w:t xml:space="preserve"> </w:t>
            </w:r>
            <m:oMath>
              <m:r>
                <m:t>t</m:t>
              </m:r>
            </m:oMath>
            <w:r>
              <w:t xml:space="preserve">, e 0 caso contrário.</w:t>
            </w:r>
          </w:p>
        </w:tc>
      </w:tr>
    </w:tbl>
    <w:bookmarkStart w:id="12" w:name="procedimento-de-cálculo"/>
    <w:p>
      <w:pPr>
        <w:pStyle w:val="Heading2"/>
      </w:pPr>
      <w:r>
        <w:t xml:space="preserve">Procedimento de cálculo</w:t>
      </w:r>
    </w:p>
    <w:p>
      <w:pPr>
        <w:pStyle w:val="FirstParagraph"/>
      </w:pPr>
      <w:r>
        <w:t xml:space="preserve">Para cada parlamentar</w:t>
      </w:r>
      <w:r>
        <w:t xml:space="preserve"> </w:t>
      </w:r>
      <m:oMath>
        <m:r>
          <m:t>i</m:t>
        </m:r>
      </m:oMath>
      <w:r>
        <w:t xml:space="preserve">, a variável</w:t>
      </w:r>
      <w:r>
        <w:t xml:space="preserve"> </w:t>
      </w:r>
      <m:oMath>
        <m:r>
          <m:t>j</m:t>
        </m:r>
      </m:oMath>
      <w:r>
        <w:t xml:space="preserve"> </w:t>
      </w:r>
      <w:r>
        <w:t xml:space="preserve">é observada em cada legislatura</w:t>
      </w:r>
      <w:r>
        <w:t xml:space="preserve"> </w:t>
      </w:r>
      <m:oMath>
        <m:r>
          <m:t>t</m:t>
        </m:r>
      </m:oMath>
      <w:r>
        <w:t xml:space="preserve">.O valor acumulado ao longo das legislaturas é então definido como:</w:t>
      </w:r>
    </w:p>
    <w:p>
      <w:pPr>
        <w:pStyle w:val="BodyText"/>
      </w:pPr>
      <m:oMathPara>
        <m:oMathParaPr>
          <m:jc m:val="center"/>
        </m:oMathParaPr>
        <m:oMath>
          <m:sSub>
            <m:e>
              <m:acc>
                <m:accPr>
                  <m:chr m:val="̃"/>
                </m:accPr>
                <m:e>
                  <m:r>
                    <m:t>X</m:t>
                  </m:r>
                </m:e>
              </m:acc>
            </m:e>
            <m:sub>
              <m:r>
                <m:t>i</m:t>
              </m:r>
              <m:r>
                <m:t>j</m:t>
              </m:r>
              <m:r>
                <m:t>t</m:t>
              </m:r>
            </m:sub>
          </m:sSub>
          <m:r>
            <m:rPr>
              <m:sty m:val="p"/>
            </m:rPr>
            <m:t>=</m:t>
          </m:r>
          <m:nary>
            <m:naryPr>
              <m:chr m:val="∑"/>
              <m:limLoc m:val="undOvr"/>
              <m:subHide m:val="off"/>
              <m:supHide m:val="off"/>
            </m:naryPr>
            <m:sub>
              <m:r>
                <m:t>t</m:t>
              </m:r>
              <m:r>
                <m:rPr>
                  <m:sty m:val="p"/>
                </m:rPr>
                <m:t>=</m:t>
              </m:r>
              <m:r>
                <m:t>1</m:t>
              </m:r>
            </m:sub>
            <m:sup>
              <m:r>
                <m:t>T</m:t>
              </m:r>
            </m:sup>
            <m:e>
              <m:sSub>
                <m:e>
                  <m:r>
                    <m:t>x</m:t>
                  </m:r>
                </m:e>
                <m:sub>
                  <m:r>
                    <m:t>i</m:t>
                  </m:r>
                  <m:r>
                    <m:t>j</m:t>
                  </m:r>
                  <m:r>
                    <m:t>t</m:t>
                  </m:r>
                </m:sub>
              </m:sSub>
            </m:e>
          </m:nary>
          <m:r>
            <m:rPr>
              <m:sty m:val="p"/>
            </m:rPr>
            <m:t>,</m:t>
          </m:r>
        </m:oMath>
      </m:oMathPara>
    </w:p>
    <w:p>
      <w:pPr>
        <w:pStyle w:val="FirstParagraph"/>
      </w:pPr>
      <w:r>
        <w:t xml:space="preserve">onde</w:t>
      </w:r>
      <w:r>
        <w:t xml:space="preserve"> </w:t>
      </w:r>
      <m:oMath>
        <m:r>
          <m:t>T</m:t>
        </m:r>
      </m:oMath>
      <w:r>
        <w:t xml:space="preserve"> </w:t>
      </w:r>
      <w:r>
        <w:t xml:space="preserve">é o número total de legislaturas consideradas.</w:t>
      </w:r>
    </w:p>
    <w:p>
      <w:pPr>
        <w:pStyle w:val="BodyText"/>
      </w:pPr>
      <w:r>
        <w:t xml:space="preserve">No caso das variáveis de contagem</w:t>
      </w:r>
      <w:r>
        <w:t xml:space="preserve"> </w:t>
      </w:r>
      <m:oMath>
        <m:sSub>
          <m:e>
            <m:r>
              <m:rPr>
                <m:sty m:val="p"/>
              </m:rPr>
              <m:t>R</m:t>
            </m:r>
            <m:r>
              <m:rPr>
                <m:sty m:val="p"/>
              </m:rPr>
              <m:t>e</m:t>
            </m:r>
            <m:r>
              <m:rPr>
                <m:sty m:val="p"/>
              </m:rPr>
              <m:t>l</m:t>
            </m:r>
            <m:r>
              <m:rPr>
                <m:sty m:val="p"/>
              </m:rPr>
              <m:t>a</m:t>
            </m:r>
            <m:r>
              <m:rPr>
                <m:sty m:val="p"/>
              </m:rPr>
              <m:t>t</m:t>
            </m:r>
            <m:r>
              <m:rPr>
                <m:sty m:val="p"/>
              </m:rPr>
              <m:t>o</m:t>
            </m:r>
            <m:r>
              <m:rPr>
                <m:sty m:val="p"/>
              </m:rPr>
              <m:t>r</m:t>
            </m:r>
            <m:r>
              <m:rPr>
                <m:sty m:val="p"/>
              </m:rPr>
              <m:t>i</m:t>
            </m:r>
            <m:r>
              <m:rPr>
                <m:sty m:val="p"/>
              </m:rPr>
              <m:t>a</m:t>
            </m:r>
          </m:e>
          <m:sub>
            <m:r>
              <m:t>i</m:t>
            </m:r>
            <m:r>
              <m:t>t</m:t>
            </m:r>
          </m:sub>
        </m:sSub>
      </m:oMath>
      <w:r>
        <w:t xml:space="preserve"> </w:t>
      </w:r>
      <w:r>
        <w:t xml:space="preserve">e</w:t>
      </w:r>
      <w:r>
        <w:t xml:space="preserve"> </w:t>
      </w:r>
      <m:oMath>
        <m:sSub>
          <m:e>
            <m:r>
              <m:rPr>
                <m:sty m:val="p"/>
              </m:rPr>
              <m:t>T</m:t>
            </m:r>
            <m:r>
              <m:rPr>
                <m:sty m:val="p"/>
              </m:rPr>
              <m:t>e</m:t>
            </m:r>
            <m:r>
              <m:rPr>
                <m:sty m:val="p"/>
              </m:rPr>
              <m:t>m</m:t>
            </m:r>
            <m:r>
              <m:rPr>
                <m:sty m:val="p"/>
              </m:rPr>
              <m:t>p</m:t>
            </m:r>
            <m:r>
              <m:rPr>
                <m:sty m:val="p"/>
              </m:rPr>
              <m:t>o</m:t>
            </m:r>
            <m:r>
              <m:rPr>
                <m:sty m:val="p"/>
              </m:rPr>
              <m:t>A</m:t>
            </m:r>
            <m:r>
              <m:rPr>
                <m:sty m:val="p"/>
              </m:rPr>
              <m:t>t</m:t>
            </m:r>
            <m:r>
              <m:rPr>
                <m:sty m:val="p"/>
              </m:rPr>
              <m:t>u</m:t>
            </m:r>
            <m:r>
              <m:rPr>
                <m:sty m:val="p"/>
              </m:rPr>
              <m:t>a</m:t>
            </m:r>
            <m:r>
              <m:rPr>
                <m:sty m:val="p"/>
              </m:rPr>
              <m:t>c</m:t>
            </m:r>
            <m:r>
              <m:rPr>
                <m:sty m:val="p"/>
              </m:rPr>
              <m:t>a</m:t>
            </m:r>
            <m:r>
              <m:rPr>
                <m:sty m:val="p"/>
              </m:rPr>
              <m:t>o</m:t>
            </m:r>
          </m:e>
          <m:sub>
            <m:r>
              <m:t>i</m:t>
            </m:r>
            <m:r>
              <m:t>t</m:t>
            </m:r>
          </m:sub>
        </m:sSub>
      </m:oMath>
      <w:r>
        <w:t xml:space="preserve">, aplica-se previamente uma transformação logarítmica a fim de incorporar retornos decrescentes, reduzir a assimetria e mitigar o efeito de valores extremos:</w:t>
      </w:r>
    </w:p>
    <w:p>
      <w:pPr>
        <w:pStyle w:val="BodyText"/>
      </w:pPr>
      <m:oMathPara>
        <m:oMathParaPr>
          <m:jc m:val="center"/>
        </m:oMathParaPr>
        <m:oMath>
          <m:sSub>
            <m:e>
              <m:r>
                <m:t>X</m:t>
              </m:r>
            </m:e>
            <m:sub>
              <m:r>
                <m:t>i</m:t>
              </m:r>
              <m:r>
                <m:t>j</m:t>
              </m:r>
              <m:r>
                <m:t>t</m:t>
              </m:r>
            </m:sub>
          </m:sSub>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ln</m:t>
                    </m:r>
                    <m:r>
                      <m:t>​</m:t>
                    </m:r>
                    <m:d>
                      <m:dPr>
                        <m:begChr m:val="("/>
                        <m:sepChr m:val=""/>
                        <m:endChr m:val=")"/>
                        <m:grow/>
                      </m:dPr>
                      <m:e>
                        <m:r>
                          <m:t>1</m:t>
                        </m:r>
                        <m:r>
                          <m:rPr>
                            <m:sty m:val="p"/>
                          </m:rPr>
                          <m:t>+</m:t>
                        </m:r>
                        <m:sSub>
                          <m:e>
                            <m:acc>
                              <m:accPr>
                                <m:chr m:val="̃"/>
                              </m:accPr>
                              <m:e>
                                <m:r>
                                  <m:t>X</m:t>
                                </m:r>
                              </m:e>
                            </m:acc>
                          </m:e>
                          <m:sub>
                            <m:r>
                              <m:t>i</m:t>
                            </m:r>
                            <m:r>
                              <m:t>j</m:t>
                            </m:r>
                            <m:r>
                              <m:t>t</m:t>
                            </m:r>
                          </m:sub>
                        </m:sSub>
                      </m:e>
                    </m:d>
                    <m:r>
                      <m:rPr>
                        <m:sty m:val="p"/>
                      </m:rPr>
                      <m:t>,</m:t>
                    </m:r>
                  </m:e>
                  <m:e>
                    <m:r>
                      <m:rPr>
                        <m:nor/>
                        <m:sty m:val="p"/>
                      </m:rPr>
                      <m:t>se </m:t>
                    </m:r>
                    <m:r>
                      <m:t>j</m:t>
                    </m:r>
                    <m:r>
                      <m:rPr>
                        <m:sty m:val="p"/>
                      </m:rPr>
                      <m:t>∈</m:t>
                    </m:r>
                    <m:r>
                      <m:rPr>
                        <m:sty m:val="p"/>
                      </m:rPr>
                      <m:t>{</m:t>
                    </m:r>
                    <m:r>
                      <m:rPr>
                        <m:sty m:val="p"/>
                      </m:rPr>
                      <m:t>R</m:t>
                    </m:r>
                    <m:r>
                      <m:rPr>
                        <m:sty m:val="p"/>
                      </m:rPr>
                      <m:t>e</m:t>
                    </m:r>
                    <m:r>
                      <m:rPr>
                        <m:sty m:val="p"/>
                      </m:rPr>
                      <m:t>l</m:t>
                    </m:r>
                    <m:r>
                      <m:rPr>
                        <m:sty m:val="p"/>
                      </m:rPr>
                      <m:t>a</m:t>
                    </m:r>
                    <m:r>
                      <m:rPr>
                        <m:sty m:val="p"/>
                      </m:rPr>
                      <m:t>t</m:t>
                    </m:r>
                    <m:r>
                      <m:rPr>
                        <m:sty m:val="p"/>
                      </m:rPr>
                      <m:t>o</m:t>
                    </m:r>
                    <m:r>
                      <m:rPr>
                        <m:sty m:val="p"/>
                      </m:rPr>
                      <m:t>r</m:t>
                    </m:r>
                    <m:r>
                      <m:rPr>
                        <m:sty m:val="p"/>
                      </m:rPr>
                      <m:t>i</m:t>
                    </m:r>
                    <m:r>
                      <m:rPr>
                        <m:sty m:val="p"/>
                      </m:rPr>
                      <m:t>a</m:t>
                    </m:r>
                    <m:r>
                      <m:rPr>
                        <m:sty m:val="p"/>
                      </m:rPr>
                      <m:t>,</m:t>
                    </m:r>
                    <m:r>
                      <m:t> </m:t>
                    </m:r>
                    <m:r>
                      <m:rPr>
                        <m:sty m:val="p"/>
                      </m:rPr>
                      <m:t>T</m:t>
                    </m:r>
                    <m:r>
                      <m:rPr>
                        <m:sty m:val="p"/>
                      </m:rPr>
                      <m:t>e</m:t>
                    </m:r>
                    <m:r>
                      <m:rPr>
                        <m:sty m:val="p"/>
                      </m:rPr>
                      <m:t>m</m:t>
                    </m:r>
                    <m:r>
                      <m:rPr>
                        <m:sty m:val="p"/>
                      </m:rPr>
                      <m:t>p</m:t>
                    </m:r>
                    <m:r>
                      <m:rPr>
                        <m:sty m:val="p"/>
                      </m:rPr>
                      <m:t>o</m:t>
                    </m:r>
                    <m:r>
                      <m:rPr>
                        <m:sty m:val="p"/>
                      </m:rPr>
                      <m:t>A</m:t>
                    </m:r>
                    <m:r>
                      <m:rPr>
                        <m:sty m:val="p"/>
                      </m:rPr>
                      <m:t>t</m:t>
                    </m:r>
                    <m:r>
                      <m:rPr>
                        <m:sty m:val="p"/>
                      </m:rPr>
                      <m:t>u</m:t>
                    </m:r>
                    <m:r>
                      <m:rPr>
                        <m:sty m:val="p"/>
                      </m:rPr>
                      <m:t>a</m:t>
                    </m:r>
                    <m:r>
                      <m:rPr>
                        <m:sty m:val="p"/>
                      </m:rPr>
                      <m:t>c</m:t>
                    </m:r>
                    <m:r>
                      <m:rPr>
                        <m:sty m:val="p"/>
                      </m:rPr>
                      <m:t>a</m:t>
                    </m:r>
                    <m:r>
                      <m:rPr>
                        <m:sty m:val="p"/>
                      </m:rPr>
                      <m:t>o</m:t>
                    </m:r>
                    <m:r>
                      <m:rPr>
                        <m:sty m:val="p"/>
                      </m:rPr>
                      <m:t>}</m:t>
                    </m:r>
                    <m:r>
                      <m:rPr>
                        <m:sty m:val="p"/>
                      </m:rPr>
                      <m:t>,</m:t>
                    </m:r>
                  </m:e>
                </m:mr>
                <m:mr>
                  <m:e>
                    <m:sSub>
                      <m:e>
                        <m:acc>
                          <m:accPr>
                            <m:chr m:val="̃"/>
                          </m:accPr>
                          <m:e>
                            <m:r>
                              <m:t>X</m:t>
                            </m:r>
                          </m:e>
                        </m:acc>
                      </m:e>
                      <m:sub>
                        <m:r>
                          <m:t>i</m:t>
                        </m:r>
                        <m:r>
                          <m:t>j</m:t>
                        </m:r>
                        <m:r>
                          <m:t>t</m:t>
                        </m:r>
                      </m:sub>
                    </m:sSub>
                    <m:r>
                      <m:rPr>
                        <m:sty m:val="p"/>
                      </m:rPr>
                      <m:t>,</m:t>
                    </m:r>
                  </m:e>
                  <m:e>
                    <m:r>
                      <m:rPr>
                        <m:nor/>
                        <m:sty m:val="p"/>
                      </m:rPr>
                      <m:t>caso contrário.</m:t>
                    </m:r>
                  </m:e>
                </m:mr>
              </m:m>
            </m:e>
          </m:d>
        </m:oMath>
      </m:oMathPara>
    </w:p>
    <w:p>
      <w:pPr>
        <w:pStyle w:val="FirstParagraph"/>
      </w:pPr>
      <w:r>
        <w:t xml:space="preserve">Na etapa seguinte, cada variável é normalizada para o intervalo</w:t>
      </w:r>
      <w:r>
        <w:t xml:space="preserve"> </w:t>
      </w:r>
      <m:oMath>
        <m:r>
          <m:rPr>
            <m:sty m:val="p"/>
          </m:rPr>
          <m:t>[</m:t>
        </m:r>
        <m:r>
          <m:t>0</m:t>
        </m:r>
        <m:r>
          <m:rPr>
            <m:sty m:val="p"/>
          </m:rPr>
          <m:t>,</m:t>
        </m:r>
        <m:r>
          <m:t>1</m:t>
        </m:r>
        <m:r>
          <m:rPr>
            <m:sty m:val="p"/>
          </m:rPr>
          <m:t>]</m:t>
        </m:r>
      </m:oMath>
      <w:r>
        <w:t xml:space="preserve"> </w:t>
      </w:r>
      <w:r>
        <w:t xml:space="preserve">pelo método</w:t>
      </w:r>
      <w:r>
        <w:t xml:space="preserve"> </w:t>
      </w:r>
      <w:r>
        <w:rPr>
          <w:i/>
          <w:iCs/>
        </w:rPr>
        <w:t xml:space="preserve">min–max</w:t>
      </w:r>
      <w:r>
        <w:t xml:space="preserve">:</w:t>
      </w:r>
    </w:p>
    <w:p>
      <w:pPr>
        <w:pStyle w:val="BodyText"/>
      </w:pPr>
      <m:oMathPara>
        <m:oMathParaPr>
          <m:jc m:val="center"/>
        </m:oMathParaPr>
        <m:oMath>
          <m:sSubSup>
            <m:e>
              <m:r>
                <m:t>X</m:t>
              </m:r>
            </m:e>
            <m:sub>
              <m:r>
                <m:t>i</m:t>
              </m:r>
              <m:r>
                <m:t>j</m:t>
              </m:r>
              <m:r>
                <m:t>t</m:t>
              </m:r>
            </m:sub>
            <m:sup>
              <m:r>
                <m:rPr>
                  <m:sty m:val="p"/>
                </m:rPr>
                <m:t>n</m:t>
              </m:r>
              <m:r>
                <m:rPr>
                  <m:sty m:val="p"/>
                </m:rPr>
                <m:t>o</m:t>
              </m:r>
              <m:r>
                <m:rPr>
                  <m:sty m:val="p"/>
                </m:rPr>
                <m:t>r</m:t>
              </m:r>
              <m:r>
                <m:rPr>
                  <m:sty m:val="p"/>
                </m:rPr>
                <m:t>m</m:t>
              </m:r>
            </m:sup>
          </m:sSubSup>
          <m:r>
            <m:rPr>
              <m:sty m:val="p"/>
            </m:rPr>
            <m:t>=</m:t>
          </m:r>
          <m:f>
            <m:fPr>
              <m:type m:val="bar"/>
            </m:fPr>
            <m:num>
              <m:sSub>
                <m:e>
                  <m:r>
                    <m:t>X</m:t>
                  </m:r>
                </m:e>
                <m:sub>
                  <m:r>
                    <m:t>i</m:t>
                  </m:r>
                  <m:r>
                    <m:t>j</m:t>
                  </m:r>
                  <m:r>
                    <m:t>t</m:t>
                  </m:r>
                </m:sub>
              </m:sSub>
              <m:r>
                <m:rPr>
                  <m:sty m:val="p"/>
                </m:rPr>
                <m:t>−</m:t>
              </m:r>
              <m:sSubSup>
                <m:e>
                  <m:r>
                    <m:t>X</m:t>
                  </m:r>
                </m:e>
                <m:sub>
                  <m:r>
                    <m:t>j</m:t>
                  </m:r>
                  <m:r>
                    <m:t>t</m:t>
                  </m:r>
                </m:sub>
                <m:sup>
                  <m:r>
                    <m:rPr>
                      <m:sty m:val="p"/>
                    </m:rPr>
                    <m:t>min</m:t>
                  </m:r>
                </m:sup>
              </m:sSubSup>
            </m:num>
            <m:den>
              <m:sSubSup>
                <m:e>
                  <m:r>
                    <m:t>X</m:t>
                  </m:r>
                </m:e>
                <m:sub>
                  <m:r>
                    <m:t>j</m:t>
                  </m:r>
                  <m:r>
                    <m:t>t</m:t>
                  </m:r>
                </m:sub>
                <m:sup>
                  <m:r>
                    <m:rPr>
                      <m:sty m:val="p"/>
                    </m:rPr>
                    <m:t>max</m:t>
                  </m:r>
                </m:sup>
              </m:sSubSup>
              <m:r>
                <m:rPr>
                  <m:sty m:val="p"/>
                </m:rPr>
                <m:t>−</m:t>
              </m:r>
              <m:sSubSup>
                <m:e>
                  <m:r>
                    <m:t>X</m:t>
                  </m:r>
                </m:e>
                <m:sub>
                  <m:r>
                    <m:t>j</m:t>
                  </m:r>
                  <m:r>
                    <m:t>t</m:t>
                  </m:r>
                </m:sub>
                <m:sup>
                  <m:r>
                    <m:rPr>
                      <m:sty m:val="p"/>
                    </m:rPr>
                    <m:t>min</m:t>
                  </m:r>
                </m:sup>
              </m:sSubSup>
            </m:den>
          </m:f>
          <m:r>
            <m:rPr>
              <m:sty m:val="p"/>
            </m:rPr>
            <m:t>,</m:t>
          </m:r>
        </m:oMath>
      </m:oMathPara>
    </w:p>
    <w:p>
      <w:pPr>
        <w:pStyle w:val="FirstParagraph"/>
      </w:pPr>
      <w:r>
        <w:t xml:space="preserve">e ponderada pelo peso definido no quadro</w:t>
      </w:r>
      <w:r>
        <w:t xml:space="preserve"> </w:t>
      </w:r>
      <w:hyperlink w:anchor="tab:ipp_vars">
        <w:r>
          <w:rPr>
            <w:rStyle w:val="Hyperlink"/>
          </w:rPr>
          <w:t xml:space="preserve">[tab:ipp_vars]</w:t>
        </w:r>
      </w:hyperlink>
      <w:r>
        <w:t xml:space="preserve">:</w:t>
      </w:r>
    </w:p>
    <w:p>
      <w:pPr>
        <w:pStyle w:val="BodyText"/>
      </w:pPr>
      <m:oMathPara>
        <m:oMathParaPr>
          <m:jc m:val="center"/>
        </m:oMathParaPr>
        <m:oMath>
          <m:sSubSup>
            <m:e>
              <m:r>
                <m:t>X</m:t>
              </m:r>
            </m:e>
            <m:sub>
              <m:r>
                <m:t>i</m:t>
              </m:r>
              <m:r>
                <m:t>j</m:t>
              </m:r>
              <m:r>
                <m:t>t</m:t>
              </m:r>
            </m:sub>
            <m:sup>
              <m:r>
                <m:t>w</m:t>
              </m:r>
            </m:sup>
          </m:sSubSup>
          <m:r>
            <m:rPr>
              <m:sty m:val="p"/>
            </m:rPr>
            <m:t>=</m:t>
          </m:r>
          <m:sSubSup>
            <m:e>
              <m:r>
                <m:t>X</m:t>
              </m:r>
            </m:e>
            <m:sub>
              <m:r>
                <m:t>i</m:t>
              </m:r>
              <m:r>
                <m:t>j</m:t>
              </m:r>
              <m:r>
                <m:t>t</m:t>
              </m:r>
            </m:sub>
            <m:sup>
              <m:r>
                <m:rPr>
                  <m:sty m:val="p"/>
                </m:rPr>
                <m:t>n</m:t>
              </m:r>
              <m:r>
                <m:rPr>
                  <m:sty m:val="p"/>
                </m:rPr>
                <m:t>o</m:t>
              </m:r>
              <m:r>
                <m:rPr>
                  <m:sty m:val="p"/>
                </m:rPr>
                <m:t>r</m:t>
              </m:r>
              <m:r>
                <m:rPr>
                  <m:sty m:val="p"/>
                </m:rPr>
                <m:t>m</m:t>
              </m:r>
            </m:sup>
          </m:sSubSup>
          <m:r>
            <m:rPr>
              <m:sty m:val="p"/>
            </m:rPr>
            <m:t>×</m:t>
          </m:r>
          <m:sSub>
            <m:e>
              <m:r>
                <m:t>w</m:t>
              </m:r>
            </m:e>
            <m:sub>
              <m:r>
                <m:t>j</m:t>
              </m:r>
            </m:sub>
          </m:sSub>
          <m:r>
            <m:rPr>
              <m:sty m:val="p"/>
            </m:rPr>
            <m:t>.</m:t>
          </m:r>
        </m:oMath>
      </m:oMathPara>
    </w:p>
    <w:bookmarkStart w:id="11" w:name="cálculo-das-dimensões"/>
    <w:p>
      <w:pPr>
        <w:pStyle w:val="Heading3"/>
      </w:pPr>
      <w:r>
        <w:t xml:space="preserve">Cálculo das dimensões</w:t>
      </w:r>
    </w:p>
    <w:p>
      <w:pPr>
        <w:pStyle w:val="FirstParagraph"/>
      </w:pPr>
      <w:r>
        <w:t xml:space="preserve">As dimensões são calculadas pela soma das variáveis ponderadas que as compõem:</w:t>
      </w:r>
    </w:p>
    <w:p>
      <w:pPr>
        <w:pStyle w:val="BodyText"/>
      </w:pPr>
      <m:oMathPara>
        <m:oMathParaPr>
          <m:jc m:val="center"/>
        </m:oMathParaPr>
        <m:oMath>
          <m:sSub>
            <m:e>
              <m:r>
                <m:t>E</m:t>
              </m:r>
            </m:e>
            <m:sub>
              <m:r>
                <m:t>i</m:t>
              </m:r>
              <m:r>
                <m:t>t</m:t>
              </m:r>
            </m:sub>
          </m:sSub>
          <m:r>
            <m:rPr>
              <m:sty m:val="p"/>
            </m:rPr>
            <m:t>=</m:t>
          </m:r>
          <m:nary>
            <m:naryPr>
              <m:chr m:val="∑"/>
              <m:limLoc m:val="undOvr"/>
              <m:subHide m:val="off"/>
              <m:supHide m:val="on"/>
            </m:naryPr>
            <m:sub>
              <m:r>
                <m:t>j</m:t>
              </m:r>
              <m:r>
                <m:rPr>
                  <m:sty m:val="p"/>
                </m:rPr>
                <m:t>∈</m:t>
              </m:r>
              <m:r>
                <m:t>E</m:t>
              </m:r>
            </m:sub>
            <m:sup>
              <m:r>
                <m:t>​</m:t>
              </m:r>
            </m:sup>
            <m:e>
              <m:sSubSup>
                <m:e>
                  <m:r>
                    <m:t>X</m:t>
                  </m:r>
                </m:e>
                <m:sub>
                  <m:r>
                    <m:t>i</m:t>
                  </m:r>
                  <m:r>
                    <m:t>j</m:t>
                  </m:r>
                  <m:r>
                    <m:t>t</m:t>
                  </m:r>
                </m:sub>
                <m:sup>
                  <m:r>
                    <m:t>w</m:t>
                  </m:r>
                </m:sup>
              </m:sSubSup>
            </m:e>
          </m:nary>
          <m:r>
            <m:rPr>
              <m:sty m:val="p"/>
            </m:rPr>
            <m:t>,</m:t>
          </m:r>
          <m:r>
            <m:t>  </m:t>
          </m:r>
          <m:sSub>
            <m:e>
              <m:r>
                <m:t>C</m:t>
              </m:r>
            </m:e>
            <m:sub>
              <m:r>
                <m:t>i</m:t>
              </m:r>
              <m:r>
                <m:t>t</m:t>
              </m:r>
            </m:sub>
          </m:sSub>
          <m:r>
            <m:rPr>
              <m:sty m:val="p"/>
            </m:rPr>
            <m:t>=</m:t>
          </m:r>
          <m:nary>
            <m:naryPr>
              <m:chr m:val="∑"/>
              <m:limLoc m:val="undOvr"/>
              <m:subHide m:val="off"/>
              <m:supHide m:val="on"/>
            </m:naryPr>
            <m:sub>
              <m:r>
                <m:t>j</m:t>
              </m:r>
              <m:r>
                <m:rPr>
                  <m:sty m:val="p"/>
                </m:rPr>
                <m:t>∈</m:t>
              </m:r>
              <m:r>
                <m:t>C</m:t>
              </m:r>
            </m:sub>
            <m:sup>
              <m:r>
                <m:t>​</m:t>
              </m:r>
            </m:sup>
            <m:e>
              <m:sSubSup>
                <m:e>
                  <m:r>
                    <m:t>X</m:t>
                  </m:r>
                </m:e>
                <m:sub>
                  <m:r>
                    <m:t>i</m:t>
                  </m:r>
                  <m:r>
                    <m:t>j</m:t>
                  </m:r>
                  <m:r>
                    <m:t>t</m:t>
                  </m:r>
                </m:sub>
                <m:sup>
                  <m:r>
                    <m:t>w</m:t>
                  </m:r>
                </m:sup>
              </m:sSubSup>
            </m:e>
          </m:nary>
          <m:r>
            <m:rPr>
              <m:sty m:val="p"/>
            </m:rPr>
            <m:t>,</m:t>
          </m:r>
        </m:oMath>
      </m:oMathPara>
    </w:p>
    <w:p>
      <w:pPr>
        <w:pStyle w:val="FirstParagraph"/>
      </w:pPr>
      <w:r>
        <w:t xml:space="preserve">onde</w:t>
      </w:r>
      <w:r>
        <w:t xml:space="preserve"> </w:t>
      </w:r>
      <m:oMath>
        <m:r>
          <m:t>E</m:t>
        </m:r>
      </m:oMath>
      <w:r>
        <w:t xml:space="preserve"> </w:t>
      </w:r>
      <w:r>
        <w:t xml:space="preserve">representa o conjunto de variáveis da dimensão de especialização legislativa e</w:t>
      </w:r>
      <w:r>
        <w:t xml:space="preserve"> </w:t>
      </w:r>
      <m:oMath>
        <m:r>
          <m:t>C</m:t>
        </m:r>
      </m:oMath>
      <w:r>
        <w:t xml:space="preserve"> </w:t>
      </w:r>
      <w:r>
        <w:t xml:space="preserve">o conjunto da dimensão de carreira parlamentar.</w:t>
      </w:r>
    </w:p>
    <w:p>
      <w:pPr>
        <w:pStyle w:val="BodyText"/>
      </w:pPr>
      <w:r>
        <w:t xml:space="preserve">Após nova normalização em</w:t>
      </w:r>
      <w:r>
        <w:t xml:space="preserve"> </w:t>
      </w:r>
      <m:oMath>
        <m:r>
          <m:rPr>
            <m:sty m:val="p"/>
          </m:rPr>
          <m:t>[</m:t>
        </m:r>
        <m:r>
          <m:t>0</m:t>
        </m:r>
        <m:r>
          <m:rPr>
            <m:sty m:val="p"/>
          </m:rPr>
          <m:t>,</m:t>
        </m:r>
        <m:r>
          <m:t>1</m:t>
        </m:r>
        <m:r>
          <m:rPr>
            <m:sty m:val="p"/>
          </m:rPr>
          <m:t>]</m:t>
        </m:r>
      </m:oMath>
      <w:r>
        <w:t xml:space="preserve">, o Índice de Profissionalização do Parlamentar é obtido como a média aritmética das duas dimensões:</w:t>
      </w:r>
    </w:p>
    <w:p>
      <w:pPr>
        <w:pStyle w:val="BodyText"/>
      </w:pPr>
      <m:oMathPara>
        <m:oMathParaPr>
          <m:jc m:val="center"/>
        </m:oMathParaPr>
        <m:oMath>
          <m:r>
            <m:t>I</m:t>
          </m:r>
          <m:r>
            <m:t>P</m:t>
          </m:r>
          <m:sSub>
            <m:e>
              <m:r>
                <m:t>P</m:t>
              </m:r>
            </m:e>
            <m:sub>
              <m:r>
                <m:t>i</m:t>
              </m:r>
              <m:r>
                <m:t>t</m:t>
              </m:r>
            </m:sub>
          </m:sSub>
          <m:r>
            <m:rPr>
              <m:sty m:val="p"/>
            </m:rPr>
            <m:t>=</m:t>
          </m:r>
          <m:f>
            <m:fPr>
              <m:type m:val="bar"/>
            </m:fPr>
            <m:num>
              <m:sSubSup>
                <m:e>
                  <m:r>
                    <m:t>E</m:t>
                  </m:r>
                </m:e>
                <m:sub>
                  <m:r>
                    <m:t>i</m:t>
                  </m:r>
                  <m:r>
                    <m:t>t</m:t>
                  </m:r>
                </m:sub>
                <m:sup>
                  <m:r>
                    <m:rPr>
                      <m:sty m:val="p"/>
                    </m:rPr>
                    <m:t>n</m:t>
                  </m:r>
                  <m:r>
                    <m:rPr>
                      <m:sty m:val="p"/>
                    </m:rPr>
                    <m:t>o</m:t>
                  </m:r>
                  <m:r>
                    <m:rPr>
                      <m:sty m:val="p"/>
                    </m:rPr>
                    <m:t>r</m:t>
                  </m:r>
                  <m:r>
                    <m:rPr>
                      <m:sty m:val="p"/>
                    </m:rPr>
                    <m:t>m</m:t>
                  </m:r>
                </m:sup>
              </m:sSubSup>
              <m:r>
                <m:rPr>
                  <m:sty m:val="p"/>
                </m:rPr>
                <m:t>+</m:t>
              </m:r>
              <m:sSubSup>
                <m:e>
                  <m:r>
                    <m:t>C</m:t>
                  </m:r>
                </m:e>
                <m:sub>
                  <m:r>
                    <m:t>i</m:t>
                  </m:r>
                  <m:r>
                    <m:t>t</m:t>
                  </m:r>
                </m:sub>
                <m:sup>
                  <m:r>
                    <m:rPr>
                      <m:sty m:val="p"/>
                    </m:rPr>
                    <m:t>n</m:t>
                  </m:r>
                  <m:r>
                    <m:rPr>
                      <m:sty m:val="p"/>
                    </m:rPr>
                    <m:t>o</m:t>
                  </m:r>
                  <m:r>
                    <m:rPr>
                      <m:sty m:val="p"/>
                    </m:rPr>
                    <m:t>r</m:t>
                  </m:r>
                  <m:r>
                    <m:rPr>
                      <m:sty m:val="p"/>
                    </m:rPr>
                    <m:t>m</m:t>
                  </m:r>
                </m:sup>
              </m:sSubSup>
            </m:num>
            <m:den>
              <m:r>
                <m:t>2</m:t>
              </m:r>
            </m:den>
          </m:f>
          <m:r>
            <m:rPr>
              <m:sty m:val="p"/>
            </m:rPr>
            <m:t>.</m:t>
          </m:r>
        </m:oMath>
      </m:oMathPara>
    </w:p>
    <w:bookmarkEnd w:id="11"/>
    <w:bookmarkEnd w:id="12"/>
    <w:bookmarkStart w:id="22" w:name="validação-e-análise-do-ipp"/>
    <w:p>
      <w:pPr>
        <w:pStyle w:val="Heading2"/>
      </w:pPr>
      <w:r>
        <w:t xml:space="preserve">Validação e Análise do IPP</w:t>
      </w:r>
    </w:p>
    <w:bookmarkStart w:id="21" w:name="distribuição-e-características-do-índice"/>
    <w:p>
      <w:pPr>
        <w:pStyle w:val="Heading3"/>
      </w:pPr>
      <w:r>
        <w:t xml:space="preserve">Distribuição e Características do Índice</w:t>
      </w:r>
    </w:p>
    <w:p>
      <w:pPr>
        <w:pStyle w:val="FirstParagraph"/>
      </w:pPr>
      <w:r>
        <w:t xml:space="preserve">A análise da distribuição do Índice de Profissionalização do Parlamentar (IPP) e de suas dimensões constitutivas é um passo crucial para a validação do indicador. As Figuras</w:t>
      </w:r>
      <w:r>
        <w:t xml:space="preserve"> </w:t>
      </w:r>
      <w:hyperlink w:anchor="fig:ipp_boxplot">
        <w:r>
          <w:rPr>
            <w:rStyle w:val="Hyperlink"/>
          </w:rPr>
          <w:t xml:space="preserve">1</w:t>
        </w:r>
      </w:hyperlink>
      <w:r>
        <w:t xml:space="preserve"> </w:t>
      </w:r>
      <w:r>
        <w:t xml:space="preserve">e</w:t>
      </w:r>
      <w:r>
        <w:t xml:space="preserve"> </w:t>
      </w:r>
      <w:hyperlink w:anchor="fig:ipp_histplot">
        <w:r>
          <w:rPr>
            <w:rStyle w:val="Hyperlink"/>
          </w:rPr>
          <w:t xml:space="preserve">2</w:t>
        </w:r>
      </w:hyperlink>
      <w:r>
        <w:t xml:space="preserve"> </w:t>
      </w:r>
      <w:r>
        <w:t xml:space="preserve">oferecem um panorama detalhado das características estatísticas do índice.</w:t>
      </w:r>
    </w:p>
    <w:p>
      <w:pPr>
        <w:pStyle w:val="BodyText"/>
      </w:pPr>
      <w:r>
        <w:t xml:space="preserve">A Figura</w:t>
      </w:r>
      <w:r>
        <w:t xml:space="preserve"> </w:t>
      </w:r>
      <w:hyperlink w:anchor="fig:ipp_boxplot">
        <w:r>
          <w:rPr>
            <w:rStyle w:val="Hyperlink"/>
          </w:rPr>
          <w:t xml:space="preserve">1</w:t>
        </w:r>
      </w:hyperlink>
      <w:r>
        <w:t xml:space="preserve"> </w:t>
      </w:r>
      <w:r>
        <w:t xml:space="preserve">apresenta a evolução da distribuição do IPP ao longo de seis legislaturas (da 52ª à 57ª), revelando insights importantes sobre a estabilidade do índice e sua sensibilidade a fenômenos políticos.</w:t>
      </w:r>
    </w:p>
    <w:bookmarkStart w:id="16" w:name="fig:ipp_boxplot"/>
    <w:p>
      <w:pPr>
        <w:pStyle w:val="CaptionedFigure"/>
      </w:pPr>
      <w:r>
        <w:drawing>
          <wp:inline>
            <wp:extent cx="4267200" cy="1866899"/>
            <wp:effectExtent b="0" l="0" r="0" t="0"/>
            <wp:docPr descr="" title="" id="14" name="Picture"/>
            <a:graphic>
              <a:graphicData uri="http://schemas.openxmlformats.org/drawingml/2006/picture">
                <pic:pic>
                  <pic:nvPicPr>
                    <pic:cNvPr descr="figures/ipp_boxplot.png" id="15" name="Picture"/>
                    <pic:cNvPicPr>
                      <a:picLocks noChangeArrowheads="1" noChangeAspect="1"/>
                    </pic:cNvPicPr>
                  </pic:nvPicPr>
                  <pic:blipFill>
                    <a:blip r:embed="rId13"/>
                    <a:stretch>
                      <a:fillRect/>
                    </a:stretch>
                  </pic:blipFill>
                  <pic:spPr bwMode="auto">
                    <a:xfrm>
                      <a:off x="0" y="0"/>
                      <a:ext cx="4267200" cy="1866899"/>
                    </a:xfrm>
                    <a:prstGeom prst="rect">
                      <a:avLst/>
                    </a:prstGeom>
                    <a:noFill/>
                    <a:ln w="9525">
                      <a:noFill/>
                      <a:headEnd/>
                      <a:tailEnd/>
                    </a:ln>
                  </pic:spPr>
                </pic:pic>
              </a:graphicData>
            </a:graphic>
          </wp:inline>
        </w:drawing>
      </w:r>
    </w:p>
    <w:p>
      <w:pPr>
        <w:pStyle w:val="ImageCaption"/>
      </w:pPr>
      <w:r>
        <w:t xml:space="preserve">Distribuição do IPP por dimensões: Especialização Legislativa vs. Carreira Parlamentar</w:t>
      </w:r>
    </w:p>
    <w:bookmarkEnd w:id="16"/>
    <w:p>
      <w:pPr>
        <w:pStyle w:val="BodyText"/>
      </w:pPr>
      <w:r>
        <w:t xml:space="preserve">Observa-se uma notável estabilidade na mediana do IPP, que se mantém consistentemente próxima de 0.3 na maioria das legislaturas. Isso sugere que o nível de profissionalização do parlamentar mediano tem variado pouco ao longo do tempo. Uma exceção notável é a 56ª legislatura (2019-2023), que registrou uma das maiores taxas de renovação da história. A queda na mediana do IPP neste período indica que o índice foi sensível a essa mudança no perfil do parlamento, capturando o impacto da entrada de um grande número de "outsiders" com, presumivelmente, menor acúmulo de experiência e especialização.</w:t>
      </w:r>
    </w:p>
    <w:p>
      <w:pPr>
        <w:pStyle w:val="BodyText"/>
      </w:pPr>
      <w:r>
        <w:t xml:space="preserve">Outro ponto de destaque é a grande quantidade de outliers em todas as legislaturas. Este padrão valida a capacidade do IPP de discriminar e identificar um grupo de parlamentares com desempenho excepcionalmente alto, que se distancia significativamente da maioria. A existência desses outliers reforça a robustez do índice como uma ferramenta de diferenciação.</w:t>
      </w:r>
    </w:p>
    <w:p>
      <w:pPr>
        <w:pStyle w:val="BodyText"/>
      </w:pPr>
      <w:r>
        <w:t xml:space="preserve">Finalmente, a combinação de uma mediana estável com a presença de outliers aponta para a necessidade de análises que vão além da média. Para uma compreensão mais aprofundada, é mais adequado analisar o IPP por faixas de pontuação, permitindo um estudo mais detalhado dos diferentes estratos de desempenho parlamentar.</w:t>
      </w:r>
    </w:p>
    <w:bookmarkStart w:id="20" w:name="fig:ipp_histplot"/>
    <w:p>
      <w:pPr>
        <w:pStyle w:val="CaptionedFigure"/>
      </w:pPr>
      <w:r>
        <w:drawing>
          <wp:inline>
            <wp:extent cx="4267200" cy="1866899"/>
            <wp:effectExtent b="0" l="0" r="0" t="0"/>
            <wp:docPr descr="" title="" id="18" name="Picture"/>
            <a:graphic>
              <a:graphicData uri="http://schemas.openxmlformats.org/drawingml/2006/picture">
                <pic:pic>
                  <pic:nvPicPr>
                    <pic:cNvPr descr="figures/ipp_histplot.png" id="19" name="Picture"/>
                    <pic:cNvPicPr>
                      <a:picLocks noChangeArrowheads="1" noChangeAspect="1"/>
                    </pic:cNvPicPr>
                  </pic:nvPicPr>
                  <pic:blipFill>
                    <a:blip r:embed="rId17"/>
                    <a:stretch>
                      <a:fillRect/>
                    </a:stretch>
                  </pic:blipFill>
                  <pic:spPr bwMode="auto">
                    <a:xfrm>
                      <a:off x="0" y="0"/>
                      <a:ext cx="4267200" cy="1866899"/>
                    </a:xfrm>
                    <a:prstGeom prst="rect">
                      <a:avLst/>
                    </a:prstGeom>
                    <a:noFill/>
                    <a:ln w="9525">
                      <a:noFill/>
                      <a:headEnd/>
                      <a:tailEnd/>
                    </a:ln>
                  </pic:spPr>
                </pic:pic>
              </a:graphicData>
            </a:graphic>
          </wp:inline>
        </w:drawing>
      </w:r>
    </w:p>
    <w:p>
      <w:pPr>
        <w:pStyle w:val="ImageCaption"/>
      </w:pPr>
      <w:r>
        <w:t xml:space="preserve">Distribuição geral dos valores do IPP, mostrando a concentração e variabilidade dos índices.</w:t>
      </w:r>
    </w:p>
    <w:bookmarkEnd w:id="20"/>
    <w:p>
      <w:pPr>
        <w:pStyle w:val="BodyText"/>
      </w:pPr>
      <w:r>
        <w:t xml:space="preserve">A distribuição geral do IPP, apresentada no histograma da Figura</w:t>
      </w:r>
      <w:r>
        <w:t xml:space="preserve"> </w:t>
      </w:r>
      <w:hyperlink w:anchor="fig:ipp_histplot">
        <w:r>
          <w:rPr>
            <w:rStyle w:val="Hyperlink"/>
          </w:rPr>
          <w:t xml:space="preserve">2</w:t>
        </w:r>
      </w:hyperlink>
      <w:r>
        <w:t xml:space="preserve">, revela uma assimetria positiva. Isso indica que a maioria dos parlamentares se concentra em valores moderados de profissionalização, com uma cauda longa de poucos indivíduos que alcançam escores excepcionalmente altos. A presença de outliers significativos é esperada e valida a capacidade do índice de identificar parlamentares com desempenho notável. A variabilidade observada é adequada para discriminar diferentes níveis de profissionalização, e a complementaridade entre as distribuições das duas dimensões confirma que o índice captura, de forma balanceada, aspectos distintos da atuação parlamentar.</w:t>
      </w:r>
    </w:p>
    <w:p>
      <w:pPr>
        <w:pStyle w:val="BodyText"/>
      </w:pPr>
      <w:r>
        <w:t xml:space="preserve">Com base nesta análise, os valores do IPP podem ser interpretados em faixas de desempenho: escores baixos (0.0 a 0.3) sugerem uma profissionalização limitada; valores médios (0.3 a 0.7) indicam um perfil moderado e equilibrado; e pontuações altas (0.7 a 1.0) caracterizam parlamentares com uma carreira consolidada e alto engajamento institucional.</w:t>
      </w:r>
    </w:p>
    <w:bookmarkEnd w:id="21"/>
    <w:bookmarkEnd w:id="22"/>
    <w:bookmarkEnd w:id="23"/>
    <w:bookmarkStart w:id="38" w:name="índice-de-representação-descritiva-ird"/>
    <w:p>
      <w:pPr>
        <w:pStyle w:val="Heading1"/>
      </w:pPr>
      <w:r>
        <w:t xml:space="preserve">Índice de Representação Descritiva (IRD)</w:t>
      </w:r>
    </w:p>
    <w:p>
      <w:pPr>
        <w:pStyle w:val="FirstParagraph"/>
      </w:pPr>
      <w:r>
        <w:t xml:space="preserve">A dimensão de Representação Descritiva (RD) é composta por duas variáveis: gênero (tratada de forma binária, considerando as categorias</w:t>
      </w:r>
      <w:r>
        <w:t xml:space="preserve"> </w:t>
      </w:r>
      <w:r>
        <w:t xml:space="preserve">“masculino”</w:t>
      </w:r>
      <w:r>
        <w:t xml:space="preserve"> </w:t>
      </w:r>
      <w:r>
        <w:t xml:space="preserve">e</w:t>
      </w:r>
      <w:r>
        <w:t xml:space="preserve"> </w:t>
      </w:r>
      <w:r>
        <w:t xml:space="preserve">“feminino”</w:t>
      </w:r>
      <w:r>
        <w:t xml:space="preserve">, conforme as informações disponíveis nas bases de dados utilizadas) e raça (também operacionalizada como variável binária de pessoas brancas e pessoas não brancas). Ambas as características são analisadas tanto no grupo de representantes quanto na população brasileira.</w:t>
      </w:r>
    </w:p>
    <w:p>
      <w:pPr>
        <w:pStyle w:val="BodyText"/>
      </w:pPr>
      <w:r>
        <w:t xml:space="preserve">Os dados utilizados para o cálculo desta dimensão foram retirados do Repositório de dados do Tribunal Superior Eleitoral (TSE), no caso das informações referentes aos e às parlamentares, e do Instituto Brasileiro de Geografia e Estatística (IBGE), para os números que dizem respeito à população brasileira.</w:t>
      </w:r>
    </w:p>
    <w:p>
      <w:pPr>
        <w:pStyle w:val="BodyText"/>
      </w:pPr>
      <w:r>
        <w:t xml:space="preserve">Na operacionalização das variáveis propusemos o cálculo de pesos individuais para corrigir amostras desequilibradas, garantindo que as proporções das categorias na amostra correspondam às proporções da população desejada. Adicionalmente, introduzimos um índice geral para uma determinada legislatura que quantifica o grau de correção aplicada, indicando quão distante a amostra original estava da distribuição populacional almejada.</w:t>
      </w:r>
    </w:p>
    <w:bookmarkStart w:id="24" w:name="cálculo-dos-pesos-individuais"/>
    <w:p>
      <w:pPr>
        <w:pStyle w:val="Heading2"/>
      </w:pPr>
      <w:r>
        <w:t xml:space="preserve">Cálculo dos Pesos Individuais</w:t>
      </w:r>
    </w:p>
    <w:p>
      <w:pPr>
        <w:pStyle w:val="FirstParagraph"/>
      </w:pPr>
      <w:r>
        <w:t xml:space="preserve">Dado um conjunto de indivíduos classificados segundo múltiplas características binárias (</w:t>
      </w:r>
      <m:oMath>
        <m:r>
          <m:t>C</m:t>
        </m:r>
      </m:oMath>
      <w:r>
        <w:t xml:space="preserve">), busca-se atribuir a cada indivíduo</w:t>
      </w:r>
      <w:r>
        <w:t xml:space="preserve"> </w:t>
      </w:r>
      <m:oMath>
        <m:r>
          <m:t>i</m:t>
        </m:r>
      </m:oMath>
      <w:r>
        <w:t xml:space="preserve"> </w:t>
      </w:r>
      <w:r>
        <w:t xml:space="preserve">um peso</w:t>
      </w:r>
      <w:r>
        <w:t xml:space="preserve"> </w:t>
      </w:r>
      <m:oMath>
        <m:sSub>
          <m:e>
            <m:r>
              <m:t>w</m:t>
            </m:r>
          </m:e>
          <m:sub>
            <m:r>
              <m:t>i</m:t>
            </m:r>
          </m:sub>
        </m:sSub>
      </m:oMath>
      <w:r>
        <w:t xml:space="preserve"> </w:t>
      </w:r>
      <w:r>
        <w:t xml:space="preserve">de modo que, após a ponderação, as proporções observadas na amostra sejam consistentes com as proporções populacionais de interesse. O peso inicial de um indivíduo antes da normalização (</w:t>
      </w:r>
      <m:oMath>
        <m:acc>
          <m:accPr>
            <m:chr m:val="̃"/>
          </m:accPr>
          <m:e>
            <m:sSub>
              <m:e>
                <m:r>
                  <m:t>w</m:t>
                </m:r>
              </m:e>
              <m:sub>
                <m:r>
                  <m:t>i</m:t>
                </m:r>
              </m:sub>
            </m:sSub>
          </m:e>
        </m:acc>
      </m:oMath>
      <w:r>
        <w:t xml:space="preserve">) é definido por:</w:t>
      </w:r>
    </w:p>
    <w:p>
      <w:pPr>
        <w:pStyle w:val="BodyText"/>
      </w:pPr>
      <m:oMathPara>
        <m:oMathParaPr>
          <m:jc m:val="center"/>
        </m:oMathParaPr>
        <m:oMath>
          <m:acc>
            <m:accPr>
              <m:chr m:val="̃"/>
            </m:accPr>
            <m:e>
              <m:sSub>
                <m:e>
                  <m:r>
                    <m:t>w</m:t>
                  </m:r>
                </m:e>
                <m:sub>
                  <m:r>
                    <m:t>i</m:t>
                  </m:r>
                </m:sub>
              </m:sSub>
            </m:e>
          </m:acc>
          <m:r>
            <m:rPr>
              <m:sty m:val="p"/>
            </m:rPr>
            <m:t>=</m:t>
          </m:r>
          <m:nary>
            <m:naryPr>
              <m:chr m:val="∑"/>
              <m:limLoc m:val="undOvr"/>
              <m:subHide m:val="off"/>
              <m:supHide m:val="off"/>
            </m:naryPr>
            <m:sub>
              <m:r>
                <m:t>c</m:t>
              </m:r>
              <m:r>
                <m:rPr>
                  <m:sty m:val="p"/>
                </m:rPr>
                <m:t>=</m:t>
              </m:r>
              <m:r>
                <m:t>1</m:t>
              </m:r>
            </m:sub>
            <m:sup>
              <m:r>
                <m:t>C</m:t>
              </m:r>
            </m:sup>
            <m:e>
              <m:sSub>
                <m:e>
                  <m:r>
                    <m:t>X</m:t>
                  </m:r>
                </m:e>
                <m:sub>
                  <m:r>
                    <m:t>i</m:t>
                  </m:r>
                  <m:r>
                    <m:t>c</m:t>
                  </m:r>
                </m:sub>
              </m:sSub>
            </m:e>
          </m:nary>
          <m:f>
            <m:fPr>
              <m:type m:val="bar"/>
            </m:fPr>
            <m:num>
              <m:sSub>
                <m:e>
                  <m:r>
                    <m:t>p</m:t>
                  </m:r>
                </m:e>
                <m:sub>
                  <m:r>
                    <m:t>c</m:t>
                  </m:r>
                </m:sub>
              </m:sSub>
            </m:num>
            <m:den>
              <m:sSub>
                <m:e>
                  <m:r>
                    <m:t>n</m:t>
                  </m:r>
                </m:e>
                <m:sub>
                  <m:r>
                    <m:t>c</m:t>
                  </m:r>
                </m:sub>
              </m:sSub>
            </m:den>
          </m:f>
          <m:r>
            <m:rPr>
              <m:sty m:val="p"/>
            </m:rPr>
            <m:t>,</m:t>
          </m:r>
          <m:r>
            <m:t> </m:t>
          </m:r>
          <m:nary>
            <m:naryPr>
              <m:chr m:val="∑"/>
              <m:limLoc m:val="undOvr"/>
              <m:subHide m:val="off"/>
              <m:supHide m:val="off"/>
            </m:naryPr>
            <m:sub>
              <m:r>
                <m:t>c</m:t>
              </m:r>
              <m:r>
                <m:rPr>
                  <m:sty m:val="p"/>
                </m:rPr>
                <m:t>=</m:t>
              </m:r>
              <m:r>
                <m:t>1</m:t>
              </m:r>
            </m:sub>
            <m:sup>
              <m:r>
                <m:t>C</m:t>
              </m:r>
            </m:sup>
            <m:e>
              <m:sSub>
                <m:e>
                  <m:r>
                    <m:t>p</m:t>
                  </m:r>
                </m:e>
                <m:sub>
                  <m:r>
                    <m:t>c</m:t>
                  </m:r>
                </m:sub>
              </m:sSub>
            </m:e>
          </m:nary>
          <m:r>
            <m:rPr>
              <m:sty m:val="p"/>
            </m:rPr>
            <m:t>=</m:t>
          </m:r>
          <m:nary>
            <m:naryPr>
              <m:chr m:val="∑"/>
              <m:limLoc m:val="undOvr"/>
              <m:subHide m:val="off"/>
              <m:supHide m:val="off"/>
            </m:naryPr>
            <m:sub>
              <m:r>
                <m:t>c</m:t>
              </m:r>
              <m:r>
                <m:rPr>
                  <m:sty m:val="p"/>
                </m:rPr>
                <m:t>=</m:t>
              </m:r>
              <m:r>
                <m:t>1</m:t>
              </m:r>
            </m:sub>
            <m:sup>
              <m:r>
                <m:t>C</m:t>
              </m:r>
            </m:sup>
            <m:e>
              <m:sSub>
                <m:e>
                  <m:r>
                    <m:t>n</m:t>
                  </m:r>
                </m:e>
                <m:sub>
                  <m:r>
                    <m:t>c</m:t>
                  </m:r>
                </m:sub>
              </m:sSub>
            </m:e>
          </m:nary>
          <m:r>
            <m:rPr>
              <m:sty m:val="p"/>
            </m:rPr>
            <m:t>=</m:t>
          </m:r>
          <m:r>
            <m:t>q</m:t>
          </m:r>
        </m:oMath>
      </m:oMathPara>
    </w:p>
    <w:p>
      <w:pPr>
        <w:pStyle w:val="FirstParagraph"/>
      </w:pPr>
      <w:r>
        <w:t xml:space="preserve">onde:</w:t>
      </w:r>
    </w:p>
    <w:p>
      <w:pPr>
        <w:numPr>
          <w:ilvl w:val="0"/>
          <w:numId w:val="1003"/>
        </w:numPr>
      </w:pPr>
      <m:oMath>
        <m:sSub>
          <m:e>
            <m:r>
              <m:t>X</m:t>
            </m:r>
          </m:e>
          <m:sub>
            <m:r>
              <m:t>i</m:t>
            </m:r>
            <m:r>
              <m:t>c</m:t>
            </m:r>
          </m:sub>
        </m:sSub>
      </m:oMath>
      <w:r>
        <w:t xml:space="preserve"> </w:t>
      </w:r>
      <w:r>
        <w:t xml:space="preserve">é uma variável binária que assume valor 1 se o indivíduo</w:t>
      </w:r>
      <w:r>
        <w:t xml:space="preserve"> </w:t>
      </w:r>
      <m:oMath>
        <m:r>
          <m:t>i</m:t>
        </m:r>
      </m:oMath>
      <w:r>
        <w:t xml:space="preserve"> </w:t>
      </w:r>
      <w:r>
        <w:t xml:space="preserve">pertence à categoria</w:t>
      </w:r>
      <w:r>
        <w:t xml:space="preserve"> </w:t>
      </w:r>
      <m:oMath>
        <m:r>
          <m:t>c</m:t>
        </m:r>
      </m:oMath>
      <w:r>
        <w:t xml:space="preserve">, e 0 em caso contrário;</w:t>
      </w:r>
    </w:p>
    <w:p>
      <w:pPr>
        <w:numPr>
          <w:ilvl w:val="0"/>
          <w:numId w:val="1003"/>
        </w:numPr>
      </w:pPr>
      <m:oMath>
        <m:sSub>
          <m:e>
            <m:r>
              <m:t>p</m:t>
            </m:r>
          </m:e>
          <m:sub>
            <m:r>
              <m:t>c</m:t>
            </m:r>
          </m:sub>
        </m:sSub>
      </m:oMath>
      <w:r>
        <w:t xml:space="preserve"> </w:t>
      </w:r>
      <w:r>
        <w:t xml:space="preserve">é a proporção da categoria</w:t>
      </w:r>
      <w:r>
        <w:t xml:space="preserve"> </w:t>
      </w:r>
      <m:oMath>
        <m:r>
          <m:t>c</m:t>
        </m:r>
      </m:oMath>
      <w:r>
        <w:t xml:space="preserve"> </w:t>
      </w:r>
      <w:r>
        <w:t xml:space="preserve">na população;</w:t>
      </w:r>
    </w:p>
    <w:p>
      <w:pPr>
        <w:numPr>
          <w:ilvl w:val="0"/>
          <w:numId w:val="1003"/>
        </w:numPr>
      </w:pPr>
      <m:oMath>
        <m:sSub>
          <m:e>
            <m:r>
              <m:t>n</m:t>
            </m:r>
          </m:e>
          <m:sub>
            <m:r>
              <m:t>c</m:t>
            </m:r>
          </m:sub>
        </m:sSub>
      </m:oMath>
      <w:r>
        <w:t xml:space="preserve"> </w:t>
      </w:r>
      <w:r>
        <w:t xml:space="preserve">é a proporção da categoria</w:t>
      </w:r>
      <w:r>
        <w:t xml:space="preserve"> </w:t>
      </w:r>
      <m:oMath>
        <m:r>
          <m:t>c</m:t>
        </m:r>
      </m:oMath>
      <w:r>
        <w:t xml:space="preserve"> </w:t>
      </w:r>
      <w:r>
        <w:t xml:space="preserve">na amostra;</w:t>
      </w:r>
    </w:p>
    <w:p>
      <w:pPr>
        <w:numPr>
          <w:ilvl w:val="0"/>
          <w:numId w:val="1003"/>
        </w:numPr>
      </w:pPr>
      <m:oMath>
        <m:r>
          <m:t>q</m:t>
        </m:r>
      </m:oMath>
      <w:r>
        <w:t xml:space="preserve"> </w:t>
      </w:r>
      <w:r>
        <w:t xml:space="preserve">é a quantidade de características analisadas. Por exemplo, considerando</w:t>
      </w:r>
      <w:r>
        <w:t xml:space="preserve"> </w:t>
      </w:r>
      <w:r>
        <w:t xml:space="preserve">“raça”</w:t>
      </w:r>
      <w:r>
        <w:t xml:space="preserve"> </w:t>
      </w:r>
      <w:r>
        <w:t xml:space="preserve">e</w:t>
      </w:r>
      <w:r>
        <w:t xml:space="preserve"> </w:t>
      </w:r>
      <w:r>
        <w:t xml:space="preserve">“gênero”</w:t>
      </w:r>
      <w:r>
        <w:t xml:space="preserve">, então</w:t>
      </w:r>
      <w:r>
        <w:t xml:space="preserve"> </w:t>
      </w:r>
      <m:oMath>
        <m:r>
          <m:t>q</m:t>
        </m:r>
        <m:r>
          <m:rPr>
            <m:sty m:val="p"/>
          </m:rPr>
          <m:t>=</m:t>
        </m:r>
        <m:r>
          <m:t>2</m:t>
        </m:r>
      </m:oMath>
      <w:r>
        <w:t xml:space="preserve">;</w:t>
      </w:r>
    </w:p>
    <w:p>
      <w:pPr>
        <w:numPr>
          <w:ilvl w:val="0"/>
          <w:numId w:val="1003"/>
        </w:numPr>
      </w:pPr>
      <m:oMath>
        <m:r>
          <m:t>C</m:t>
        </m:r>
      </m:oMath>
      <w:r>
        <w:t xml:space="preserve"> </w:t>
      </w:r>
      <w:r>
        <w:t xml:space="preserve">é a quantidade de categorias. No exemplo anterior, se</w:t>
      </w:r>
      <w:r>
        <w:t xml:space="preserve"> </w:t>
      </w:r>
      <w:r>
        <w:t xml:space="preserve">“raça”</w:t>
      </w:r>
      <w:r>
        <w:t xml:space="preserve"> </w:t>
      </w:r>
      <w:r>
        <w:t xml:space="preserve">for definida como</w:t>
      </w:r>
      <w:r>
        <w:t xml:space="preserve"> </w:t>
      </w:r>
      <w:r>
        <w:t xml:space="preserve">“branco”</w:t>
      </w:r>
      <w:r>
        <w:t xml:space="preserve"> </w:t>
      </w:r>
      <w:r>
        <w:t xml:space="preserve">e</w:t>
      </w:r>
      <w:r>
        <w:t xml:space="preserve"> </w:t>
      </w:r>
      <w:r>
        <w:t xml:space="preserve">“não-branco”</w:t>
      </w:r>
      <w:r>
        <w:t xml:space="preserve"> </w:t>
      </w:r>
      <w:r>
        <w:t xml:space="preserve">e</w:t>
      </w:r>
      <w:r>
        <w:t xml:space="preserve"> </w:t>
      </w:r>
      <w:r>
        <w:t xml:space="preserve">“gênero”</w:t>
      </w:r>
      <w:r>
        <w:t xml:space="preserve"> </w:t>
      </w:r>
      <w:r>
        <w:t xml:space="preserve">como</w:t>
      </w:r>
      <w:r>
        <w:t xml:space="preserve"> </w:t>
      </w:r>
      <w:r>
        <w:t xml:space="preserve">“homem”</w:t>
      </w:r>
      <w:r>
        <w:t xml:space="preserve"> </w:t>
      </w:r>
      <w:r>
        <w:t xml:space="preserve">e</w:t>
      </w:r>
      <w:r>
        <w:t xml:space="preserve"> </w:t>
      </w:r>
      <w:r>
        <w:t xml:space="preserve">“mulher”</w:t>
      </w:r>
      <w:r>
        <w:t xml:space="preserve">, então</w:t>
      </w:r>
      <w:r>
        <w:t xml:space="preserve"> </w:t>
      </w:r>
      <m:oMath>
        <m:r>
          <m:t>C</m:t>
        </m:r>
        <m:r>
          <m:rPr>
            <m:sty m:val="p"/>
          </m:rPr>
          <m:t>=</m:t>
        </m:r>
        <m:r>
          <m:t>4</m:t>
        </m:r>
      </m:oMath>
      <w:r>
        <w:t xml:space="preserve">.</w:t>
      </w:r>
    </w:p>
    <w:p>
      <w:pPr>
        <w:pStyle w:val="FirstParagraph"/>
      </w:pPr>
      <w:r>
        <w:t xml:space="preserve">A restrição imposta na equação garante que tanto</w:t>
      </w:r>
      <w:r>
        <w:t xml:space="preserve"> </w:t>
      </w:r>
      <m:oMath>
        <m:sSub>
          <m:e>
            <m:r>
              <m:t>p</m:t>
            </m:r>
          </m:e>
          <m:sub>
            <m:r>
              <m:t>c</m:t>
            </m:r>
          </m:sub>
        </m:sSub>
      </m:oMath>
      <w:r>
        <w:t xml:space="preserve"> </w:t>
      </w:r>
      <w:r>
        <w:t xml:space="preserve">quanto</w:t>
      </w:r>
      <w:r>
        <w:t xml:space="preserve"> </w:t>
      </w:r>
      <m:oMath>
        <m:sSub>
          <m:e>
            <m:r>
              <m:t>n</m:t>
            </m:r>
          </m:e>
          <m:sub>
            <m:r>
              <m:t>c</m:t>
            </m:r>
          </m:sub>
        </m:sSub>
      </m:oMath>
      <w:r>
        <w:t xml:space="preserve"> </w:t>
      </w:r>
      <w:r>
        <w:t xml:space="preserve">correspondam, de fato, a distribuições proporcionais entre as categorias consideradas.</w:t>
      </w:r>
    </w:p>
    <w:p>
      <w:pPr>
        <w:pStyle w:val="BodyText"/>
      </w:pPr>
      <w:r>
        <w:t xml:space="preserve">Por fim, os pesos são normalizados de forma que a soma total dos pesos seja equivalente ao tamanho da amostra, preservando assim a contagem efetiva de indivíduos:</w:t>
      </w:r>
    </w:p>
    <w:p>
      <w:pPr>
        <w:pStyle w:val="BodyText"/>
      </w:pPr>
      <m:oMathPara>
        <m:oMathParaPr>
          <m:jc m:val="center"/>
        </m:oMathParaPr>
        <m:oMath>
          <m:sSub>
            <m:e>
              <m:r>
                <m:t>w</m:t>
              </m:r>
            </m:e>
            <m:sub>
              <m:r>
                <m:t>i</m:t>
              </m:r>
            </m:sub>
          </m:sSub>
          <m:r>
            <m:rPr>
              <m:sty m:val="p"/>
            </m:rPr>
            <m:t>=</m:t>
          </m:r>
          <m:f>
            <m:fPr>
              <m:type m:val="bar"/>
            </m:fPr>
            <m:num>
              <m:acc>
                <m:accPr>
                  <m:chr m:val="̃"/>
                </m:accPr>
                <m:e>
                  <m:sSub>
                    <m:e>
                      <m:r>
                        <m:t>w</m:t>
                      </m:r>
                    </m:e>
                    <m:sub>
                      <m:r>
                        <m:t>i</m:t>
                      </m:r>
                    </m:sub>
                  </m:sSub>
                </m:e>
              </m:acc>
            </m:num>
            <m:den>
              <m:r>
                <m:t>q</m:t>
              </m:r>
            </m:den>
          </m:f>
        </m:oMath>
      </m:oMathPara>
    </w:p>
    <w:p>
      <w:pPr>
        <w:pStyle w:val="FirstParagraph"/>
      </w:pPr>
      <w:r>
        <w:t xml:space="preserve">A normalização final garante que a soma total dos pesos seja igual ao tamanho da amostra (</w:t>
      </w:r>
      <m:oMath>
        <m:nary>
          <m:naryPr>
            <m:chr m:val="∑"/>
            <m:limLoc m:val="undOvr"/>
            <m:subHide m:val="off"/>
            <m:supHide m:val="on"/>
          </m:naryPr>
          <m:sub>
            <m:r>
              <m:t>i</m:t>
            </m:r>
          </m:sub>
          <m:sup>
            <m:r>
              <m:t>​</m:t>
            </m:r>
          </m:sup>
          <m:e>
            <m:sSub>
              <m:e>
                <m:r>
                  <m:t>w</m:t>
                </m:r>
              </m:e>
              <m:sub>
                <m:r>
                  <m:t>i</m:t>
                </m:r>
              </m:sub>
            </m:sSub>
          </m:e>
        </m:nary>
        <m:r>
          <m:rPr>
            <m:sty m:val="p"/>
          </m:rPr>
          <m:t>=</m:t>
        </m:r>
        <m:r>
          <m:t>N</m:t>
        </m:r>
      </m:oMath>
      <w:r>
        <w:t xml:space="preserve">), preservando a escala e facilitando a interpretação. Em resumo,</w:t>
      </w:r>
      <w:r>
        <w:t xml:space="preserve"> </w:t>
      </w:r>
      <m:oMath>
        <m:sSub>
          <m:e>
            <m:r>
              <m:t>w</m:t>
            </m:r>
          </m:e>
          <m:sub>
            <m:r>
              <m:t>i</m:t>
            </m:r>
          </m:sub>
        </m:sSub>
      </m:oMath>
      <w:r>
        <w:t xml:space="preserve"> </w:t>
      </w:r>
      <w:r>
        <w:t xml:space="preserve">pode ser visto como uma medida de representatividade: indivíduos de grupos sub-representados passam a</w:t>
      </w:r>
      <w:r>
        <w:t xml:space="preserve"> </w:t>
      </w:r>
      <w:r>
        <w:t xml:space="preserve">“valer mais”</w:t>
      </w:r>
      <w:r>
        <w:t xml:space="preserve"> </w:t>
      </w:r>
      <w:r>
        <w:t xml:space="preserve">na análise, enquanto os de grupos super-representados passam a</w:t>
      </w:r>
      <w:r>
        <w:t xml:space="preserve"> </w:t>
      </w:r>
      <w:r>
        <w:t xml:space="preserve">“valer menos”</w:t>
      </w:r>
      <w:r>
        <w:t xml:space="preserve">.</w:t>
      </w:r>
    </w:p>
    <w:bookmarkEnd w:id="24"/>
    <w:bookmarkStart w:id="26" w:name="agregação-e-índice-de-ajuste"/>
    <w:p>
      <w:pPr>
        <w:pStyle w:val="Heading2"/>
      </w:pPr>
      <w:r>
        <w:t xml:space="preserve">Agregação e Índice de Ajuste</w:t>
      </w:r>
    </w:p>
    <w:p>
      <w:pPr>
        <w:pStyle w:val="FirstParagraph"/>
      </w:pPr>
      <w:r>
        <w:t xml:space="preserve">Para avaliar a intensidade do ajuste aplicado à amostra, definimos um índice de ajuste (</w:t>
      </w:r>
      <m:oMath>
        <m:r>
          <m:t>I</m:t>
        </m:r>
      </m:oMath>
      <w:r>
        <w:t xml:space="preserve">), que mensura o desvio médio absoluto dos pesos em relação ao valor de referência 1. Esse valor de referência corresponde à situação ideal em que todos os indivíduos possuem peso unitário, isto é, quando a amostra já é perfeitamente representativa da população.</w:t>
      </w:r>
    </w:p>
    <w:p>
      <w:pPr>
        <w:pStyle w:val="BodyText"/>
      </w:pPr>
      <w:r>
        <w:t xml:space="preserve">Formalmente, o índice pode ser expresso como:</w:t>
      </w:r>
    </w:p>
    <w:p>
      <w:pPr>
        <w:pStyle w:val="BodyText"/>
      </w:pPr>
      <m:oMathPara>
        <m:oMathParaPr>
          <m:jc m:val="center"/>
        </m:oMathParaPr>
        <m:oMath>
          <m:r>
            <m:t>I</m:t>
          </m:r>
          <m:r>
            <m:rPr>
              <m:sty m:val="p"/>
            </m:rPr>
            <m:t>=</m:t>
          </m:r>
          <m:r>
            <m:t>1</m:t>
          </m:r>
          <m:r>
            <m:rPr>
              <m:sty m:val="p"/>
            </m:rPr>
            <m:t>−</m:t>
          </m:r>
          <m:f>
            <m:fPr>
              <m:type m:val="bar"/>
            </m:fPr>
            <m:num>
              <m:r>
                <m:t>1</m:t>
              </m:r>
            </m:num>
            <m:den>
              <m:r>
                <m:t>2</m:t>
              </m:r>
              <m:r>
                <m:rPr>
                  <m:sty m:val="p"/>
                </m:rPr>
                <m:t>(</m:t>
              </m:r>
              <m:r>
                <m:t>N</m:t>
              </m:r>
              <m:r>
                <m:rPr>
                  <m:sty m:val="p"/>
                </m:rPr>
                <m:t>−</m:t>
              </m:r>
              <m:r>
                <m:t>1</m:t>
              </m:r>
              <m:r>
                <m:rPr>
                  <m:sty m:val="p"/>
                </m:rPr>
                <m:t>)</m:t>
              </m:r>
            </m:den>
          </m:f>
          <m:nary>
            <m:naryPr>
              <m:chr m:val="∑"/>
              <m:limLoc m:val="undOvr"/>
              <m:subHide m:val="off"/>
              <m:supHide m:val="off"/>
            </m:naryPr>
            <m:sub>
              <m:r>
                <m:t>i</m:t>
              </m:r>
              <m:r>
                <m:rPr>
                  <m:sty m:val="p"/>
                </m:rPr>
                <m:t>=</m:t>
              </m:r>
              <m:r>
                <m:t>1</m:t>
              </m:r>
            </m:sub>
            <m:sup>
              <m:r>
                <m:t>N</m:t>
              </m:r>
            </m:sup>
            <m:e>
              <m:r>
                <m:rPr>
                  <m:sty m:val="p"/>
                </m:rPr>
                <m:t>|</m:t>
              </m:r>
            </m:e>
          </m:nary>
          <m:sSub>
            <m:e>
              <m:r>
                <m:t>w</m:t>
              </m:r>
            </m:e>
            <m:sub>
              <m:r>
                <m:t>i</m:t>
              </m:r>
            </m:sub>
          </m:sSub>
          <m:r>
            <m:rPr>
              <m:sty m:val="p"/>
            </m:rPr>
            <m:t>−</m:t>
          </m:r>
          <m:r>
            <m:t>1</m:t>
          </m:r>
          <m:r>
            <m:rPr>
              <m:sty m:val="p"/>
            </m:rPr>
            <m:t>|</m:t>
          </m:r>
          <m:r>
            <m:rPr>
              <m:sty m:val="p"/>
            </m:rPr>
            <m:t>,</m:t>
          </m:r>
          <m:r>
            <m:t> </m:t>
          </m:r>
          <m:nary>
            <m:naryPr>
              <m:chr m:val="∑"/>
              <m:limLoc m:val="undOvr"/>
              <m:subHide m:val="off"/>
              <m:supHide m:val="on"/>
            </m:naryPr>
            <m:sub>
              <m:r>
                <m:t>i</m:t>
              </m:r>
            </m:sub>
            <m:sup>
              <m:r>
                <m:t>​</m:t>
              </m:r>
            </m:sup>
            <m:e>
              <m:sSub>
                <m:e>
                  <m:r>
                    <m:t>w</m:t>
                  </m:r>
                </m:e>
                <m:sub>
                  <m:r>
                    <m:t>i</m:t>
                  </m:r>
                </m:sub>
              </m:sSub>
            </m:e>
          </m:nary>
          <m:r>
            <m:rPr>
              <m:sty m:val="p"/>
            </m:rPr>
            <m:t>=</m:t>
          </m:r>
          <m:r>
            <m:t>N</m:t>
          </m:r>
        </m:oMath>
      </m:oMathPara>
    </w:p>
    <w:p>
      <w:pPr>
        <w:pStyle w:val="FirstParagraph"/>
      </w:pPr>
      <w:r>
        <w:t xml:space="preserve">onde</w:t>
      </w:r>
      <w:r>
        <w:t xml:space="preserve"> </w:t>
      </w:r>
      <m:oMath>
        <m:r>
          <m:t>N</m:t>
        </m:r>
      </m:oMath>
      <w:r>
        <w:t xml:space="preserve"> </w:t>
      </w:r>
      <w:r>
        <w:t xml:space="preserve">é o tamanho da amostra e</w:t>
      </w:r>
      <w:r>
        <w:t xml:space="preserve"> </w:t>
      </w:r>
      <m:oMath>
        <m:sSub>
          <m:e>
            <m:r>
              <m:t>w</m:t>
            </m:r>
          </m:e>
          <m:sub>
            <m:r>
              <m:t>i</m:t>
            </m:r>
          </m:sub>
        </m:sSub>
      </m:oMath>
      <w:r>
        <w:t xml:space="preserve"> </w:t>
      </w:r>
      <w:r>
        <w:t xml:space="preserve">o peso atribuído ao indivíduo</w:t>
      </w:r>
      <w:r>
        <w:t xml:space="preserve"> </w:t>
      </w:r>
      <m:oMath>
        <m:r>
          <m:t>i</m:t>
        </m:r>
      </m:oMath>
      <w:r>
        <w:t xml:space="preserve">.</w:t>
      </w:r>
    </w:p>
    <w:p>
      <w:pPr>
        <w:pStyle w:val="BodyText"/>
      </w:pPr>
      <w:r>
        <w:t xml:space="preserve">Esse índice, obedecida a restrição, assume valores no intervalo</w:t>
      </w:r>
      <w:r>
        <w:t xml:space="preserve"> </w:t>
      </w:r>
      <m:oMath>
        <m:r>
          <m:rPr>
            <m:sty m:val="p"/>
          </m:rPr>
          <m:t>[</m:t>
        </m:r>
        <m:r>
          <m:t>0</m:t>
        </m:r>
        <m:r>
          <m:rPr>
            <m:sty m:val="p"/>
          </m:rPr>
          <m:t>,</m:t>
        </m:r>
        <m:r>
          <m:t>1</m:t>
        </m:r>
        <m:r>
          <m:rPr>
            <m:sty m:val="p"/>
          </m:rPr>
          <m:t>]</m:t>
        </m:r>
      </m:oMath>
      <w:r>
        <w:t xml:space="preserve"> </w:t>
      </w:r>
      <w:r>
        <w:rPr>
          <w:rStyle w:val="FootnoteReference"/>
        </w:rPr>
        <w:footnoteReference w:id="25"/>
      </w:r>
      <w:r>
        <w:t xml:space="preserve">, sendo que o limite superior é determinado pelo grau de desequilíbrio inicial entre as distribuições amostral e populacional. A interpretação é direta:</w:t>
      </w:r>
    </w:p>
    <w:p>
      <w:pPr>
        <w:numPr>
          <w:ilvl w:val="0"/>
          <w:numId w:val="1004"/>
        </w:numPr>
      </w:pPr>
      <w:r>
        <w:t xml:space="preserve">Se</w:t>
      </w:r>
      <w:r>
        <w:t xml:space="preserve"> </w:t>
      </w:r>
      <m:oMath>
        <m:r>
          <m:t>I</m:t>
        </m:r>
        <m:r>
          <m:rPr>
            <m:sty m:val="p"/>
          </m:rPr>
          <m:t>=</m:t>
        </m:r>
        <m:r>
          <m:t>1</m:t>
        </m:r>
      </m:oMath>
      <w:r>
        <w:t xml:space="preserve">, a amostra já reproduz exatamente as proporções populacionais, de modo que não há necessidade de ajuste;</w:t>
      </w:r>
    </w:p>
    <w:p>
      <w:pPr>
        <w:numPr>
          <w:ilvl w:val="0"/>
          <w:numId w:val="1004"/>
        </w:numPr>
      </w:pPr>
      <w:r>
        <w:t xml:space="preserve">Quanto menor o valor de</w:t>
      </w:r>
      <w:r>
        <w:t xml:space="preserve"> </w:t>
      </w:r>
      <m:oMath>
        <m:r>
          <m:t>I</m:t>
        </m:r>
      </m:oMath>
      <w:r>
        <w:t xml:space="preserve">, maior é o desvio médio dos pesos em relação a 1, refletindo ajustes mais intensos para compensar discrepâncias entre amostra e população.</w:t>
      </w:r>
    </w:p>
    <w:p>
      <w:pPr>
        <w:pStyle w:val="FirstParagraph"/>
      </w:pPr>
      <w:r>
        <w:t xml:space="preserve">Dessa forma, o índice de ajuste constitui uma medida sintética e comparável que permite avaliar, entre diferentes amostras, o grau de distorção que precisou ser corrigido por meio da ponderação.</w:t>
      </w:r>
    </w:p>
    <w:bookmarkEnd w:id="26"/>
    <w:bookmarkStart w:id="37" w:name="validação-e-análise-do-ird"/>
    <w:p>
      <w:pPr>
        <w:pStyle w:val="Heading2"/>
      </w:pPr>
      <w:r>
        <w:t xml:space="preserve">Validação e Análise do IRD</w:t>
      </w:r>
    </w:p>
    <w:bookmarkStart w:id="31" w:name="Xdf8391f6ca4ad6eddf0ff1b7fe9ea15bbae48c8"/>
    <w:p>
      <w:pPr>
        <w:pStyle w:val="Heading3"/>
      </w:pPr>
      <w:r>
        <w:t xml:space="preserve">Validação da Representatividade e Evolução Temporal</w:t>
      </w:r>
    </w:p>
    <w:p>
      <w:pPr>
        <w:pStyle w:val="FirstParagraph"/>
      </w:pPr>
      <w:r>
        <w:t xml:space="preserve">A validação de um índice como o IRD difere fundamentalmente da validação de modelos estatísticos inferenciais. Enquanto modelos preditivos ou causais exigem rigorosos testes de hipóteses, validação cruzada e métricas de erro, a validação do IRD é primariamente conceitual e de sensibilidade.</w:t>
      </w:r>
    </w:p>
    <w:p>
      <w:pPr>
        <w:pStyle w:val="BodyText"/>
      </w:pPr>
      <w:r>
        <w:t xml:space="preserve">O IRD não é um modelo que busca prever ou explicar uma variável dependente a partir de variáveis independentes. Pelo contrário, ele é um índice determinístico, construído a partir de uma fórmula matemática explícita e transparente, detalhada no apêndice</w:t>
      </w:r>
      <w:r>
        <w:t xml:space="preserve"> </w:t>
      </w:r>
      <w:hyperlink w:anchor="appendix:ird">
        <w:r>
          <w:rPr>
            <w:rStyle w:val="Hyperlink"/>
          </w:rPr>
          <w:t xml:space="preserve">6</w:t>
        </w:r>
      </w:hyperlink>
      <w:r>
        <w:t xml:space="preserve">. As entradas (distribuições demográficas da população e dos parlamentares) geram uma saída única e previsível, sem componentes estocásticos ou erros a serem minimizados.</w:t>
      </w:r>
    </w:p>
    <w:p>
      <w:pPr>
        <w:pStyle w:val="BodyText"/>
      </w:pPr>
      <w:r>
        <w:t xml:space="preserve">Em suma, a robustez do IRD não reside em sua capacidade preditiva, mas em sua transparência metodológica e em sua habilidade de traduzir, de forma consistente e conceitualmente válida, a complexa ideia de representatividade descritiva em uma única métrica quantitativa.</w:t>
      </w:r>
    </w:p>
    <w:p>
      <w:pPr>
        <w:pStyle w:val="BodyText"/>
      </w:pPr>
      <w:r>
        <w:t xml:space="preserve">A validação empírica, portanto, foca em confirmar se o índice se comporta como esperado. Para tal, o IRD é calculado com base nas proporções da população brasileira (52% de mulheres, 48% de homens, 20% de brancos e 80% de não-brancos, segundo o IBGE) e aplicado aos dados históricos da Câmara dos Deputados. A Figura</w:t>
      </w:r>
      <w:r>
        <w:t xml:space="preserve"> </w:t>
      </w:r>
      <w:hyperlink w:anchor="fig:ird_time">
        <w:r>
          <w:rPr>
            <w:rStyle w:val="Hyperlink"/>
          </w:rPr>
          <w:t xml:space="preserve">3</w:t>
        </w:r>
      </w:hyperlink>
      <w:r>
        <w:t xml:space="preserve"> </w:t>
      </w:r>
      <w:r>
        <w:t xml:space="preserve">demonstra a evolução do índice ao longo das legislaturas, revelando uma clara tendência de crescimento que acompanha o aumento gradual da representação de mulheres e pessoas não-brancas. Esta correlação positiva valida a sensibilidade do IRD às mudanças na composição demográfica e confirma a robustez de sua metodologia de ponderação, estabelecendo-o como uma ferramenta eficaz para monitorar a representação descritiva.</w:t>
      </w:r>
    </w:p>
    <w:bookmarkStart w:id="30" w:name="fig:ird_time"/>
    <w:p>
      <w:pPr>
        <w:pStyle w:val="CaptionedFigure"/>
      </w:pPr>
      <w:r>
        <w:drawing>
          <wp:inline>
            <wp:extent cx="4267200" cy="1843674"/>
            <wp:effectExtent b="0" l="0" r="0" t="0"/>
            <wp:docPr descr="" title="" id="28" name="Picture"/>
            <a:graphic>
              <a:graphicData uri="http://schemas.openxmlformats.org/drawingml/2006/picture">
                <pic:pic>
                  <pic:nvPicPr>
                    <pic:cNvPr descr="figures/ird_vs_time.png" id="29" name="Picture"/>
                    <pic:cNvPicPr>
                      <a:picLocks noChangeArrowheads="1" noChangeAspect="1"/>
                    </pic:cNvPicPr>
                  </pic:nvPicPr>
                  <pic:blipFill>
                    <a:blip r:embed="rId27"/>
                    <a:stretch>
                      <a:fillRect/>
                    </a:stretch>
                  </pic:blipFill>
                  <pic:spPr bwMode="auto">
                    <a:xfrm>
                      <a:off x="0" y="0"/>
                      <a:ext cx="4267200" cy="1843674"/>
                    </a:xfrm>
                    <a:prstGeom prst="rect">
                      <a:avLst/>
                    </a:prstGeom>
                    <a:noFill/>
                    <a:ln w="9525">
                      <a:noFill/>
                      <a:headEnd/>
                      <a:tailEnd/>
                    </a:ln>
                  </pic:spPr>
                </pic:pic>
              </a:graphicData>
            </a:graphic>
          </wp:inline>
        </w:drawing>
      </w:r>
    </w:p>
    <w:p>
      <w:pPr>
        <w:pStyle w:val="ImageCaption"/>
      </w:pPr>
      <w:r>
        <w:t xml:space="preserve">Evolução do Índice de Representação Descritiva (IRD) ao longo das legislaturas.</w:t>
      </w:r>
    </w:p>
    <w:bookmarkEnd w:id="30"/>
    <w:bookmarkEnd w:id="31"/>
    <w:bookmarkStart w:id="36" w:name="Xc1d226b9263cf20b4d86a2f1eb3e4179420724a"/>
    <w:p>
      <w:pPr>
        <w:pStyle w:val="Heading3"/>
      </w:pPr>
      <w:r>
        <w:t xml:space="preserve">Distribuição e Características do Índice</w:t>
      </w:r>
    </w:p>
    <w:p>
      <w:pPr>
        <w:pStyle w:val="FirstParagraph"/>
      </w:pPr>
      <w:r>
        <w:t xml:space="preserve">A análise da distribuição do IRD, apresentada na Figura</w:t>
      </w:r>
      <w:r>
        <w:t xml:space="preserve"> </w:t>
      </w:r>
      <w:hyperlink w:anchor="fig:ird_distribution">
        <w:r>
          <w:rPr>
            <w:rStyle w:val="Hyperlink"/>
          </w:rPr>
          <w:t xml:space="preserve">4</w:t>
        </w:r>
      </w:hyperlink>
      <w:r>
        <w:t xml:space="preserve">, oferece insights sobre os padrões de representatividade no parlamento. A distribuição exibe uma forte assimetria positiva, indicando que a maioria dos valores se concentra em níveis mais baixos de representação. Este padrão sugere que a sub-representação de grupos demográficos é um desafio estrutural e persistente.</w:t>
      </w:r>
    </w:p>
    <w:bookmarkStart w:id="35" w:name="fig:ird_distribution"/>
    <w:p>
      <w:pPr>
        <w:pStyle w:val="CaptionedFigure"/>
      </w:pPr>
      <w:r>
        <w:drawing>
          <wp:inline>
            <wp:extent cx="4267200" cy="1866899"/>
            <wp:effectExtent b="0" l="0" r="0" t="0"/>
            <wp:docPr descr="" title="" id="33" name="Picture"/>
            <a:graphic>
              <a:graphicData uri="http://schemas.openxmlformats.org/drawingml/2006/picture">
                <pic:pic>
                  <pic:nvPicPr>
                    <pic:cNvPr descr="figures/ird_distribution.png" id="34" name="Picture"/>
                    <pic:cNvPicPr>
                      <a:picLocks noChangeArrowheads="1" noChangeAspect="1"/>
                    </pic:cNvPicPr>
                  </pic:nvPicPr>
                  <pic:blipFill>
                    <a:blip r:embed="rId32"/>
                    <a:stretch>
                      <a:fillRect/>
                    </a:stretch>
                  </pic:blipFill>
                  <pic:spPr bwMode="auto">
                    <a:xfrm>
                      <a:off x="0" y="0"/>
                      <a:ext cx="4267200" cy="1866899"/>
                    </a:xfrm>
                    <a:prstGeom prst="rect">
                      <a:avLst/>
                    </a:prstGeom>
                    <a:noFill/>
                    <a:ln w="9525">
                      <a:noFill/>
                      <a:headEnd/>
                      <a:tailEnd/>
                    </a:ln>
                  </pic:spPr>
                </pic:pic>
              </a:graphicData>
            </a:graphic>
          </wp:inline>
        </w:drawing>
      </w:r>
    </w:p>
    <w:p>
      <w:pPr>
        <w:pStyle w:val="ImageCaption"/>
      </w:pPr>
      <w:r>
        <w:t xml:space="preserve">Distribuição do Índice de Representação Descritiva (IRD).</w:t>
      </w:r>
    </w:p>
    <w:bookmarkEnd w:id="35"/>
    <w:p>
      <w:pPr>
        <w:pStyle w:val="BodyText"/>
      </w:pPr>
      <w:r>
        <w:t xml:space="preserve">A Figura</w:t>
      </w:r>
      <w:r>
        <w:t xml:space="preserve"> </w:t>
      </w:r>
      <w:hyperlink w:anchor="fig:ird_distribution">
        <w:r>
          <w:rPr>
            <w:rStyle w:val="Hyperlink"/>
          </w:rPr>
          <w:t xml:space="preserve">4</w:t>
        </w:r>
      </w:hyperlink>
      <w:r>
        <w:t xml:space="preserve"> </w:t>
      </w:r>
      <w:r>
        <w:t xml:space="preserve">apresenta a distribuição dos pesos individuais normalizados, que são a base para o cálculo do IRD. Este histograma é fundamental para compreender como o mecanismo de ponderação funciona para corrigir os desequilíbrios de representatividade.</w:t>
      </w:r>
    </w:p>
    <w:p>
      <w:pPr>
        <w:pStyle w:val="BodyText"/>
      </w:pPr>
      <w:r>
        <w:t xml:space="preserve">Observa-se uma distribuição multimodal. A primeira moda, com frequência muito elevada (acima de 2500), está concentrada em valores de peso abaixo de 1. Esta barra representa os indivíduos de grupos demográficos super-representados no parlamento (como homens brancos), aos quais o modelo atribui um peso menor para diminuir sua influência na análise.</w:t>
      </w:r>
    </w:p>
    <w:p>
      <w:pPr>
        <w:pStyle w:val="BodyText"/>
      </w:pPr>
      <w:r>
        <w:t xml:space="preserve">Outras modas, mais dispersas e com frequências menores, abrange valores acima de 1. Estas barras representam os indivíduos de grupos sub-representados (como mulheres e pessoas não-brancas). O modelo atribui a eles pesos maiores para ampliar sua importância e compensar a baixa representatividade. A longa cauda à direita, com pesos que chegam a valores como 4 ou 5, indica a existência de perfis demográficos extremamente sub-representados, que requerem uma correção de peso mais intensa.</w:t>
      </w:r>
    </w:p>
    <w:p>
      <w:pPr>
        <w:pStyle w:val="BodyText"/>
      </w:pPr>
      <w:r>
        <w:t xml:space="preserve">Em suma, a distribuição dos pesos valida o funcionamento do modelo de ponderação. Ele efetivamente diminui o peso dos grupos majoritários e aumenta o peso dos minoritários, um passo essencial para construir um índice que reflita de forma mais justa a diversidade da população brasileira.</w:t>
      </w:r>
    </w:p>
    <w:bookmarkEnd w:id="36"/>
    <w:bookmarkEnd w:id="37"/>
    <w:bookmarkEnd w:id="38"/>
    <w:bookmarkStart w:id="39" w:name="índice-de-representação-substantiva-irs"/>
    <w:p>
      <w:pPr>
        <w:pStyle w:val="Heading1"/>
      </w:pPr>
      <w:r>
        <w:t xml:space="preserve">Índice de Representação Substantiva (IRS)</w:t>
      </w:r>
    </w:p>
    <w:p>
      <w:pPr>
        <w:pStyle w:val="FirstParagraph"/>
      </w:pPr>
      <w:r>
        <w:t xml:space="preserve">A dimensão</w:t>
      </w:r>
      <w:r>
        <w:t xml:space="preserve"> </w:t>
      </w:r>
      <w:r>
        <w:rPr>
          <w:i/>
          <w:iCs/>
        </w:rPr>
        <w:t xml:space="preserve">Representação Substantiva</w:t>
      </w:r>
      <w:r>
        <w:t xml:space="preserve"> </w:t>
      </w:r>
      <w:r>
        <w:t xml:space="preserve">aborda como os deputados buscam representar seus constituintes de maneira substantiva, isto é, como eles atuam (ou melhor,</w:t>
      </w:r>
      <w:r>
        <w:t xml:space="preserve"> </w:t>
      </w:r>
      <w:r>
        <w:rPr>
          <w:i/>
          <w:iCs/>
        </w:rPr>
        <w:t xml:space="preserve">dizem atuar</w:t>
      </w:r>
      <w:r>
        <w:t xml:space="preserve">) na defesa e ação concreta de determinadas pautas. Assim, preocupação de maior magnitude é entender como eles se reivindicam representantes de determinados grupos ou valores. Propomos, assim, a construção de um índice que mensure, individualmente, os níveis de coesão das pautas defendidas por cada deputado em suas páginas nas redes sociais, especificamente o Instagram.</w:t>
      </w:r>
    </w:p>
    <w:p>
      <w:pPr>
        <w:pStyle w:val="BodyText"/>
      </w:pPr>
      <w:r>
        <w:t xml:space="preserve">Para isso, extraímos os textos de 306.680 postagens de 495 perfis de deputados federais da 57ª Legislatura, em 2023. Optamos por um ano não eleitoral, por acreditarmos que a proximidade com o pleito poderia enviesar o conteúdo das postagens feitas pelos deputados. A fim de excluir postagens nas quais os deputados não buscavam representar seus eleitorados, os textos foram tratados e filtrados a partir da presença de determinados conjuntos de termos. Nesse sentido, incluímos em nosso universo de análise, apenas as postagens nas quais haviam termos que I) referenciam determinados grupos sociais (população, mulheres, brasileiros, pobres, médicos, etc.) e II) mobilizam alguma relação de representação política (lutar, representar, defender, etc.).</w:t>
      </w:r>
      <w:r>
        <w:t xml:space="preserve"> </w:t>
      </w:r>
      <w:r>
        <w:t xml:space="preserve">Restaram, dessa forma, 44.073 postagens ao todo.</w:t>
      </w:r>
    </w:p>
    <w:p>
      <w:pPr>
        <w:pStyle w:val="BodyText"/>
      </w:pPr>
      <w:r>
        <w:t xml:space="preserve">Uma vez identificadas as postagens representativas, elas foram analisadas através de uma</w:t>
      </w:r>
      <w:r>
        <w:t xml:space="preserve"> </w:t>
      </w:r>
      <w:r>
        <w:rPr>
          <w:i/>
          <w:iCs/>
        </w:rPr>
        <w:t xml:space="preserve">Latent Semantical Analysis</w:t>
      </w:r>
      <w:r>
        <w:t xml:space="preserve"> </w:t>
      </w:r>
      <w:r>
        <w:t xml:space="preserve">(LSA) - técnica não supervisionada de redução de dimensionalidade aplicada a textos. A LSA assume que palavras com significados semelhantes ocorrem em textos semelhantes. Utilizamos a Decomposição em Valores Singulares (</w:t>
      </w:r>
      <w:r>
        <w:rPr>
          <w:i/>
          <w:iCs/>
        </w:rPr>
        <w:t xml:space="preserve">Singular Value Decomposition</w:t>
      </w:r>
      <w:r>
        <w:t xml:space="preserve"> </w:t>
      </w:r>
      <w:r>
        <w:t xml:space="preserve">- SVD), no qual a proximidade entre vetores captura a semelhança semântica, para reduzir o tamanho da matriz e algoritmos de similaridade de cosseno e obter a similaridade entre as palavras dos posts, atribuindo-se valores entre -1 e 1. Assim, o conteúdo textual da postagem 1 de deputado X foi comparado ao conteúdo textual da postagem 2 e assim sucessivamente:</w:t>
      </w:r>
    </w:p>
    <w:p>
      <w:pPr>
        <w:pStyle w:val="BodyText"/>
      </w:pPr>
      <m:oMathPara>
        <m:oMathParaPr>
          <m:jc m:val="center"/>
        </m:oMathParaPr>
        <m:oMath>
          <m:sSub>
            <m:e>
              <m:r>
                <m:t>X</m:t>
              </m:r>
            </m:e>
            <m:sub>
              <m:r>
                <m:t>1</m:t>
              </m:r>
            </m:sub>
          </m:sSub>
          <m:r>
            <m:rPr>
              <m:sty m:val="p"/>
            </m:rPr>
            <m:t>↔</m:t>
          </m:r>
          <m:sSub>
            <m:e>
              <m:r>
                <m:t>X</m:t>
              </m:r>
            </m:e>
            <m:sub>
              <m:r>
                <m:t>2</m:t>
              </m:r>
            </m:sub>
          </m:sSub>
          <m:r>
            <m:rPr>
              <m:sty m:val="p"/>
            </m:rPr>
            <m:t>;</m:t>
          </m:r>
          <m:sSub>
            <m:e>
              <m:r>
                <m:t>X</m:t>
              </m:r>
            </m:e>
            <m:sub>
              <m:r>
                <m:t>1</m:t>
              </m:r>
            </m:sub>
          </m:sSub>
          <m:r>
            <m:rPr>
              <m:sty m:val="p"/>
            </m:rPr>
            <m:t>↔</m:t>
          </m:r>
          <m:sSub>
            <m:e>
              <m:r>
                <m:t>X</m:t>
              </m:r>
            </m:e>
            <m:sub>
              <m:r>
                <m:t>3</m:t>
              </m:r>
            </m:sub>
          </m:sSub>
          <m:r>
            <m:rPr>
              <m:sty m:val="p"/>
            </m:rPr>
            <m:t>;</m:t>
          </m:r>
          <m:sSub>
            <m:e>
              <m:r>
                <m:t>X</m:t>
              </m:r>
            </m:e>
            <m:sub>
              <m:r>
                <m:t>1</m:t>
              </m:r>
            </m:sub>
          </m:sSub>
          <m:r>
            <m:rPr>
              <m:sty m:val="p"/>
            </m:rPr>
            <m:t>↔</m:t>
          </m:r>
          <m:sSub>
            <m:e>
              <m:r>
                <m:t>X</m:t>
              </m:r>
            </m:e>
            <m:sub>
              <m:r>
                <m:t>n</m:t>
              </m:r>
            </m:sub>
          </m:sSub>
          <m:r>
            <m:rPr>
              <m:sty m:val="p"/>
            </m:rPr>
            <m:t>;</m:t>
          </m:r>
          <m:r>
            <m:rPr>
              <m:sty m:val="p"/>
            </m:rPr>
            <m:t>…</m:t>
          </m:r>
          <m:r>
            <m:rPr>
              <m:sty m:val="p"/>
            </m:rPr>
            <m:t>;</m:t>
          </m:r>
          <m:sSub>
            <m:e>
              <m:r>
                <m:t>X</m:t>
              </m:r>
            </m:e>
            <m:sub>
              <m:r>
                <m:t>n</m:t>
              </m:r>
            </m:sub>
          </m:sSub>
          <m:r>
            <m:rPr>
              <m:sty m:val="p"/>
            </m:rPr>
            <m:t>↔</m:t>
          </m:r>
          <m:sSub>
            <m:e>
              <m:r>
                <m:t>X</m:t>
              </m:r>
            </m:e>
            <m:sub>
              <m:r>
                <m:t>n</m:t>
              </m:r>
              <m:r>
                <m:rPr>
                  <m:sty m:val="p"/>
                </m:rPr>
                <m:t>+</m:t>
              </m:r>
              <m:r>
                <m:t>1</m:t>
              </m:r>
            </m:sub>
          </m:sSub>
          <m:r>
            <m:rPr>
              <m:sty m:val="p"/>
            </m:rPr>
            <m:t>;</m:t>
          </m:r>
          <m:sSub>
            <m:e>
              <m:r>
                <m:t>X</m:t>
              </m:r>
            </m:e>
            <m:sub>
              <m:r>
                <m:t>n</m:t>
              </m:r>
            </m:sub>
          </m:sSub>
          <m:r>
            <m:rPr>
              <m:sty m:val="p"/>
            </m:rPr>
            <m:t>↔</m:t>
          </m:r>
          <m:sSub>
            <m:e>
              <m:r>
                <m:t>X</m:t>
              </m:r>
            </m:e>
            <m:sub>
              <m:r>
                <m:t>n</m:t>
              </m:r>
              <m:r>
                <m:rPr>
                  <m:sty m:val="p"/>
                </m:rPr>
                <m:t>+</m:t>
              </m:r>
              <m:r>
                <m:t>2</m:t>
              </m:r>
            </m:sub>
          </m:sSub>
        </m:oMath>
      </m:oMathPara>
    </w:p>
    <w:p>
      <w:pPr>
        <w:pStyle w:val="FirstParagraph"/>
      </w:pPr>
      <w:r>
        <w:t xml:space="preserve">Ao final, obtivemos uma matriz para cada deputado. Os valores do índice de coesão individual dos deputados derivaram da média dos valores dessas matrizes. A coesão representativa individual (</w:t>
      </w:r>
      <m:oMath>
        <m:r>
          <m:t>R</m:t>
        </m:r>
        <m:sSub>
          <m:e>
            <m:r>
              <m:t>C</m:t>
            </m:r>
          </m:e>
          <m:sub>
            <m:r>
              <m:t>x</m:t>
            </m:r>
          </m:sub>
        </m:sSub>
      </m:oMath>
      <w:r>
        <w:t xml:space="preserve">), portanto, foi definida como a média das similaridades cosseno entre todos os pares de postagens de um mesmo deputado. Essa medida resume o quão semanticamente consistentes são as pautas defendidas pelo parlamentar ao longo do tempo.</w:t>
      </w:r>
    </w:p>
    <w:p>
      <w:pPr>
        <w:pStyle w:val="BodyText"/>
      </w:pPr>
      <m:oMathPara>
        <m:oMathParaPr>
          <m:jc m:val="center"/>
        </m:oMathParaPr>
        <m:oMath>
          <m:r>
            <m:t>R</m:t>
          </m:r>
          <m:sSub>
            <m:e>
              <m:r>
                <m:t>C</m:t>
              </m:r>
            </m:e>
            <m:sub>
              <m:r>
                <m:t>x</m:t>
              </m:r>
            </m:sub>
          </m:sSub>
          <m:r>
            <m:rPr>
              <m:sty m:val="p"/>
            </m:rPr>
            <m:t>=</m:t>
          </m:r>
          <m:f>
            <m:fPr>
              <m:type m:val="bar"/>
            </m:fPr>
            <m:num>
              <m:r>
                <m:t>1</m:t>
              </m:r>
            </m:num>
            <m:den>
              <m:r>
                <m:t>n</m:t>
              </m:r>
            </m:den>
          </m:f>
          <m:r>
            <m:rPr>
              <m:sty m:val="p"/>
            </m:rPr>
            <m:t>∑</m:t>
          </m:r>
          <m:r>
            <m:t>L</m:t>
          </m:r>
          <m:r>
            <m:t>S</m:t>
          </m:r>
          <m:sSub>
            <m:e>
              <m:r>
                <m:t>A</m:t>
              </m:r>
            </m:e>
            <m:sub>
              <m:r>
                <m:t>i</m:t>
              </m:r>
            </m:sub>
          </m:sSub>
        </m:oMath>
      </m:oMathPara>
    </w:p>
    <w:p>
      <w:pPr>
        <w:pStyle w:val="FirstParagraph"/>
      </w:pPr>
      <w:r>
        <w:t xml:space="preserve">Onde:</w:t>
      </w:r>
    </w:p>
    <w:p>
      <w:pPr>
        <w:numPr>
          <w:ilvl w:val="0"/>
          <w:numId w:val="1005"/>
        </w:numPr>
      </w:pPr>
      <m:oMath>
        <m:r>
          <m:t>R</m:t>
        </m:r>
        <m:sSub>
          <m:e>
            <m:r>
              <m:t>C</m:t>
            </m:r>
          </m:e>
          <m:sub>
            <m:r>
              <m:t>x</m:t>
            </m:r>
          </m:sub>
        </m:sSub>
      </m:oMath>
      <w:r>
        <w:t xml:space="preserve">: Representative Cohesion Index;</w:t>
      </w:r>
    </w:p>
    <w:p>
      <w:pPr>
        <w:numPr>
          <w:ilvl w:val="0"/>
          <w:numId w:val="1005"/>
        </w:numPr>
      </w:pPr>
      <m:oMath>
        <m:r>
          <m:t>L</m:t>
        </m:r>
        <m:r>
          <m:t>S</m:t>
        </m:r>
        <m:sSub>
          <m:e>
            <m:r>
              <m:t>A</m:t>
            </m:r>
          </m:e>
          <m:sub>
            <m:r>
              <m:t>i</m:t>
            </m:r>
          </m:sub>
        </m:sSub>
      </m:oMath>
      <w:r>
        <w:t xml:space="preserve">: Valores das matrizes das postagens de determinado deputado.</w:t>
      </w:r>
    </w:p>
    <w:bookmarkEnd w:id="39"/>
    <w:bookmarkStart w:id="42" w:name="índice-de-falar-sincero-ifs"/>
    <w:p>
      <w:pPr>
        <w:pStyle w:val="Heading1"/>
      </w:pPr>
      <w:r>
        <w:t xml:space="preserve">Índice de Falar Sincero (IFS)</w:t>
      </w:r>
    </w:p>
    <w:p>
      <w:pPr>
        <w:pStyle w:val="FirstParagraph"/>
      </w:pPr>
      <w:r>
        <w:t xml:space="preserve">O Índice de Falar Sincero (IFS) é uma medida projetada para avaliar o comportamento dos parlamentares em relação à disseminação de desinformação. A premissa central é quantificar a frequência e a intensidade com que um parlamentar propaga conteúdos semelhantes a narrativas comprovadamente falsas. A metodologia consiste em comparar as postagens de cada parlamentar com uma base vetorial de conteúdos previamente verificados como falsos por agências de checagem.</w:t>
      </w:r>
    </w:p>
    <w:p>
      <w:pPr>
        <w:pStyle w:val="BodyText"/>
      </w:pPr>
      <w:r>
        <w:t xml:space="preserve">O processo de cálculo envolve as seguintes etapas:</w:t>
      </w:r>
    </w:p>
    <w:p>
      <w:pPr>
        <w:numPr>
          <w:ilvl w:val="0"/>
          <w:numId w:val="1006"/>
        </w:numPr>
      </w:pPr>
      <w:r>
        <w:rPr>
          <w:b/>
          <w:bCs/>
        </w:rPr>
        <w:t xml:space="preserve">Construção de um corpus de referência</w:t>
      </w:r>
      <w:r>
        <w:t xml:space="preserve">: Criação de uma base vetorial a partir de conteúdos rotulados como falsos, que serve como referência para a detecção de desinformação.</w:t>
      </w:r>
    </w:p>
    <w:p>
      <w:pPr>
        <w:numPr>
          <w:ilvl w:val="0"/>
          <w:numId w:val="1006"/>
        </w:numPr>
      </w:pPr>
      <w:r>
        <w:rPr>
          <w:b/>
          <w:bCs/>
        </w:rPr>
        <w:t xml:space="preserve">Curadoria do corpus</w:t>
      </w:r>
      <w:r>
        <w:t xml:space="preserve">: O material é filtrado para garantir a qualidade, com a remoção de duplicatas, ruídos e a seleção de alegações centrais.</w:t>
      </w:r>
    </w:p>
    <w:p>
      <w:pPr>
        <w:numPr>
          <w:ilvl w:val="0"/>
          <w:numId w:val="1006"/>
        </w:numPr>
      </w:pPr>
      <w:r>
        <w:rPr>
          <w:b/>
          <w:bCs/>
        </w:rPr>
        <w:t xml:space="preserve">Medição de similaridade</w:t>
      </w:r>
      <w:r>
        <w:t xml:space="preserve">: As postagens de cada parlamentar são transformadas em embeddings e comparadas com os vetores do corpus de referência, utilizando a similaridade do cosseno.</w:t>
      </w:r>
    </w:p>
    <w:p>
      <w:pPr>
        <w:numPr>
          <w:ilvl w:val="0"/>
          <w:numId w:val="1006"/>
        </w:numPr>
      </w:pPr>
      <w:r>
        <w:rPr>
          <w:b/>
          <w:bCs/>
        </w:rPr>
        <w:t xml:space="preserve">Detecção de propagação</w:t>
      </w:r>
      <w:r>
        <w:t xml:space="preserve">: Para cada postagem, identifica-se o grau de alinhamento com a desinformação. Uma postagem é considerada como potencialmente propagadora de conteúdo falso se sua similaridade máxima com alguma alegação do corpus ultrapassar um limiar</w:t>
      </w:r>
      <w:r>
        <w:t xml:space="preserve"> </w:t>
      </w:r>
      <m:oMath>
        <m:r>
          <m:t>τ</m:t>
        </m:r>
      </m:oMath>
      <w:r>
        <w:t xml:space="preserve">. Adicionalmente, um classificador de</w:t>
      </w:r>
      <w:r>
        <w:t xml:space="preserve"> </w:t>
      </w:r>
      <w:r>
        <w:rPr>
          <w:i/>
          <w:iCs/>
        </w:rPr>
        <w:t xml:space="preserve">stance</w:t>
      </w:r>
      <w:r>
        <w:t xml:space="preserve"> </w:t>
      </w:r>
      <w:r>
        <w:t xml:space="preserve">é utilizado para distinguir se a postagem</w:t>
      </w:r>
      <w:r>
        <w:t xml:space="preserve"> </w:t>
      </w:r>
      <w:r>
        <w:rPr>
          <w:i/>
          <w:iCs/>
        </w:rPr>
        <w:t xml:space="preserve">propaga</w:t>
      </w:r>
      <w:r>
        <w:t xml:space="preserve"> </w:t>
      </w:r>
      <w:r>
        <w:t xml:space="preserve">ou</w:t>
      </w:r>
      <w:r>
        <w:t xml:space="preserve"> </w:t>
      </w:r>
      <w:r>
        <w:rPr>
          <w:i/>
          <w:iCs/>
        </w:rPr>
        <w:t xml:space="preserve">denuncia</w:t>
      </w:r>
      <w:r>
        <w:t xml:space="preserve"> </w:t>
      </w:r>
      <w:r>
        <w:t xml:space="preserve">o conteúdo.</w:t>
      </w:r>
    </w:p>
    <w:bookmarkStart w:id="40" w:name="definição-operacional-e-pontuação"/>
    <w:p>
      <w:pPr>
        <w:pStyle w:val="Heading2"/>
      </w:pPr>
      <w:r>
        <w:t xml:space="preserve">Definição Operacional e Pontuação</w:t>
      </w:r>
    </w:p>
    <w:p>
      <w:pPr>
        <w:pStyle w:val="FirstParagraph"/>
      </w:pPr>
      <w:r>
        <w:t xml:space="preserve">Para um parlamentar</w:t>
      </w:r>
      <w:r>
        <w:t xml:space="preserve"> </w:t>
      </w:r>
      <m:oMath>
        <m:r>
          <m:t>i</m:t>
        </m:r>
      </m:oMath>
      <w:r>
        <w:t xml:space="preserve">, seja</w:t>
      </w:r>
      <w:r>
        <w:t xml:space="preserve"> </w:t>
      </w:r>
      <m:oMath>
        <m:sSub>
          <m:e>
            <m:r>
              <m:rPr>
                <m:scr m:val="script"/>
                <m:sty m:val="p"/>
              </m:rPr>
              <m:t>S</m:t>
            </m:r>
          </m:e>
          <m:sub>
            <m:r>
              <m:t>i</m:t>
            </m:r>
          </m:sub>
        </m:sSub>
      </m:oMath>
      <w:r>
        <w:t xml:space="preserve"> </w:t>
      </w:r>
      <w:r>
        <w:t xml:space="preserve">o conjunto de pontuações de similaridade de suas postagens que foram classificadas como propagadoras de desinformação:</w:t>
      </w:r>
    </w:p>
    <w:p>
      <w:pPr>
        <w:pStyle w:val="BodyText"/>
      </w:pPr>
      <m:oMathPara>
        <m:oMathParaPr>
          <m:jc m:val="center"/>
        </m:oMathParaPr>
        <m:oMath>
          <m:sSub>
            <m:e>
              <m:r>
                <m:rPr>
                  <m:scr m:val="script"/>
                  <m:sty m:val="p"/>
                </m:rPr>
                <m:t>S</m:t>
              </m:r>
            </m:e>
            <m:sub>
              <m:r>
                <m:t>i</m:t>
              </m:r>
            </m:sub>
          </m:sSub>
          <m:r>
            <m:rPr>
              <m:sty m:val="p"/>
            </m:rPr>
            <m:t>=</m:t>
          </m:r>
          <m:d>
            <m:dPr>
              <m:begChr m:val="{"/>
              <m:sepChr m:val=""/>
              <m:endChr m:val="}"/>
              <m:grow/>
            </m:dPr>
            <m:e>
              <m:sSub>
                <m:e>
                  <m:r>
                    <m:t>s</m:t>
                  </m:r>
                </m:e>
                <m:sub>
                  <m:r>
                    <m:t>i</m:t>
                  </m:r>
                  <m:r>
                    <m:t>t</m:t>
                  </m:r>
                </m:sub>
              </m:sSub>
              <m:r>
                <m:t> </m:t>
              </m:r>
              <m:r>
                <m:rPr>
                  <m:sty m:val="p"/>
                </m:rPr>
                <m:t>:</m:t>
              </m:r>
              <m:r>
                <m:t> </m:t>
              </m:r>
              <m:sSub>
                <m:e>
                  <m:r>
                    <m:t>s</m:t>
                  </m:r>
                </m:e>
                <m:sub>
                  <m:r>
                    <m:t>i</m:t>
                  </m:r>
                  <m:r>
                    <m:t>t</m:t>
                  </m:r>
                </m:sub>
              </m:sSub>
              <m:r>
                <m:rPr>
                  <m:sty m:val="p"/>
                </m:rPr>
                <m:t>=</m:t>
              </m:r>
              <m:limLow>
                <m:e>
                  <m:r>
                    <m:rPr>
                      <m:sty m:val="p"/>
                    </m:rPr>
                    <m:t>max</m:t>
                  </m:r>
                </m:e>
                <m:lim>
                  <m:r>
                    <m:t>j</m:t>
                  </m:r>
                </m:lim>
              </m:limLow>
              <m:r>
                <m:rPr>
                  <m:sty m:val="p"/>
                </m:rPr>
                <m:t>cos</m:t>
              </m:r>
              <m:d>
                <m:dPr>
                  <m:begChr m:val="("/>
                  <m:sepChr m:val=""/>
                  <m:endChr m:val=")"/>
                  <m:grow/>
                </m:dPr>
                <m:e>
                  <m:r>
                    <m:t>e</m:t>
                  </m:r>
                  <m:r>
                    <m:rPr>
                      <m:sty m:val="p"/>
                    </m:rPr>
                    <m:t>(</m:t>
                  </m:r>
                  <m:sSub>
                    <m:e>
                      <m:r>
                        <m:rPr>
                          <m:nor/>
                          <m:sty m:val="p"/>
                        </m:rPr>
                        <m:t>post</m:t>
                      </m:r>
                    </m:e>
                    <m:sub>
                      <m:r>
                        <m:t>i</m:t>
                      </m:r>
                      <m:r>
                        <m:t>t</m:t>
                      </m:r>
                    </m:sub>
                  </m:sSub>
                  <m:r>
                    <m:rPr>
                      <m:sty m:val="p"/>
                    </m:rPr>
                    <m:t>)</m:t>
                  </m:r>
                  <m:r>
                    <m:rPr>
                      <m:sty m:val="p"/>
                    </m:rPr>
                    <m:t>,</m:t>
                  </m:r>
                  <m:r>
                    <m:t>e</m:t>
                  </m:r>
                  <m:r>
                    <m:rPr>
                      <m:sty m:val="p"/>
                    </m:rPr>
                    <m:t>(</m:t>
                  </m:r>
                  <m:sSub>
                    <m:e>
                      <m:r>
                        <m:rPr>
                          <m:nor/>
                          <m:sty m:val="p"/>
                        </m:rPr>
                        <m:t>claim</m:t>
                      </m:r>
                    </m:e>
                    <m:sub>
                      <m:r>
                        <m:t>j</m:t>
                      </m:r>
                    </m:sub>
                  </m:sSub>
                  <m:r>
                    <m:rPr>
                      <m:sty m:val="p"/>
                    </m:rPr>
                    <m:t>)</m:t>
                  </m:r>
                </m:e>
              </m:d>
              <m:r>
                <m:rPr>
                  <m:sty m:val="p"/>
                </m:rPr>
                <m:t>≥</m:t>
              </m:r>
              <m:r>
                <m:t>τ</m:t>
              </m:r>
              <m:r>
                <m:rPr>
                  <m:nor/>
                  <m:sty m:val="p"/>
                </m:rPr>
                <m:t> e </m:t>
              </m:r>
              <m:sSub>
                <m:e>
                  <m:r>
                    <m:rPr>
                      <m:nor/>
                      <m:sty m:val="p"/>
                    </m:rPr>
                    <m:t>stance</m:t>
                  </m:r>
                </m:e>
                <m:sub>
                  <m:r>
                    <m:t>i</m:t>
                  </m:r>
                  <m:r>
                    <m:t>t</m:t>
                  </m:r>
                </m:sub>
              </m:sSub>
              <m:r>
                <m:rPr>
                  <m:sty m:val="p"/>
                </m:rPr>
                <m:t>=</m:t>
              </m:r>
              <m:r>
                <m:rPr>
                  <m:nor/>
                  <m:sty m:val="p"/>
                </m:rPr>
                <m:t>propaga</m:t>
              </m:r>
            </m:e>
          </m:d>
          <m:r>
            <m:rPr>
              <m:sty m:val="p"/>
            </m:rPr>
            <m:t>.</m:t>
          </m:r>
        </m:oMath>
      </m:oMathPara>
    </w:p>
    <w:p>
      <w:pPr>
        <w:pStyle w:val="FirstParagraph"/>
      </w:pPr>
      <w:r>
        <w:t xml:space="preserve">Com base nesse conjunto, e sendo</w:t>
      </w:r>
      <w:r>
        <w:t xml:space="preserve"> </w:t>
      </w:r>
      <m:oMath>
        <m:sSub>
          <m:e>
            <m:r>
              <m:t>P</m:t>
            </m:r>
          </m:e>
          <m:sub>
            <m:r>
              <m:t>i</m:t>
            </m:r>
          </m:sub>
        </m:sSub>
      </m:oMath>
      <w:r>
        <w:t xml:space="preserve"> </w:t>
      </w:r>
      <w:r>
        <w:t xml:space="preserve">o total de postagens analisadas e</w:t>
      </w:r>
      <w:r>
        <w:t xml:space="preserve"> </w:t>
      </w:r>
      <m:oMath>
        <m:sSub>
          <m:e>
            <m:r>
              <m:t>c</m:t>
            </m:r>
          </m:e>
          <m:sub>
            <m:r>
              <m:t>i</m:t>
            </m:r>
          </m:sub>
        </m:sSub>
        <m:r>
          <m:rPr>
            <m:sty m:val="p"/>
          </m:rPr>
          <m:t>=</m:t>
        </m:r>
        <m:r>
          <m:rPr>
            <m:sty m:val="p"/>
          </m:rPr>
          <m:t>|</m:t>
        </m:r>
        <m:sSub>
          <m:e>
            <m:r>
              <m:rPr>
                <m:scr m:val="script"/>
                <m:sty m:val="p"/>
              </m:rPr>
              <m:t>S</m:t>
            </m:r>
          </m:e>
          <m:sub>
            <m:r>
              <m:t>i</m:t>
            </m:r>
          </m:sub>
        </m:sSub>
        <m:r>
          <m:rPr>
            <m:sty m:val="p"/>
          </m:rPr>
          <m:t>|</m:t>
        </m:r>
      </m:oMath>
      <w:r>
        <w:t xml:space="preserve"> </w:t>
      </w:r>
      <w:r>
        <w:t xml:space="preserve">o número de postagens que propagam desinformação, duas formas de pontuação estão em avaliação. Ambas são orientadas de forma que,</w:t>
      </w:r>
      <w:r>
        <w:t xml:space="preserve"> </w:t>
      </w:r>
      <w:r>
        <w:rPr>
          <w:i/>
          <w:iCs/>
        </w:rPr>
        <w:t xml:space="preserve">quanto maior o índice, melhor</w:t>
      </w:r>
      <w:r>
        <w:t xml:space="preserve"> </w:t>
      </w:r>
      <w:r>
        <w:t xml:space="preserve">o desempenho do parlamentar.</w:t>
      </w:r>
    </w:p>
    <w:p>
      <w:pPr>
        <w:pStyle w:val="DefinitionTerm"/>
      </w:pPr>
      <w:r>
        <w:t xml:space="preserve">A) Incidência (Taxa)</w:t>
      </w:r>
    </w:p>
    <w:p>
      <w:pPr>
        <w:pStyle w:val="Definition"/>
      </w:pPr>
      <w:r>
        <w:t xml:space="preserve">Pontua a ocorrência de propagação. O índice é maior quanto menor a taxa de postagens propagadoras.</w:t>
      </w:r>
    </w:p>
    <w:p>
      <w:pPr>
        <w:pStyle w:val="Definition"/>
      </w:pPr>
      <m:oMathPara>
        <m:oMathParaPr>
          <m:jc m:val="center"/>
        </m:oMathParaPr>
        <m:oMath>
          <m:sSub>
            <m:e>
              <m:r>
                <m:t>r</m:t>
              </m:r>
            </m:e>
            <m:sub>
              <m:r>
                <m:t>i</m:t>
              </m:r>
            </m:sub>
          </m:sSub>
          <m:r>
            <m:rPr>
              <m:sty m:val="p"/>
            </m:rPr>
            <m:t>=</m:t>
          </m:r>
          <m:f>
            <m:fPr>
              <m:type m:val="bar"/>
            </m:fPr>
            <m:num>
              <m:sSub>
                <m:e>
                  <m:r>
                    <m:t>c</m:t>
                  </m:r>
                </m:e>
                <m:sub>
                  <m:r>
                    <m:t>i</m:t>
                  </m:r>
                </m:sub>
              </m:sSub>
            </m:num>
            <m:den>
              <m:sSub>
                <m:e>
                  <m:r>
                    <m:t>P</m:t>
                  </m:r>
                </m:e>
                <m:sub>
                  <m:r>
                    <m:t>i</m:t>
                  </m:r>
                </m:sub>
              </m:sSub>
            </m:den>
          </m:f>
          <m:r>
            <m:t> </m:t>
          </m:r>
          <m:r>
            <m:rPr>
              <m:sty m:val="p"/>
            </m:rPr>
            <m:t>⇒</m:t>
          </m:r>
          <m:r>
            <m:t> </m:t>
          </m:r>
          <m:sSubSup>
            <m:e>
              <m:r>
                <m:rPr>
                  <m:sty m:val="p"/>
                </m:rPr>
                <m:t>I</m:t>
              </m:r>
              <m:r>
                <m:rPr>
                  <m:sty m:val="p"/>
                </m:rPr>
                <m:t>F</m:t>
              </m:r>
              <m:r>
                <m:rPr>
                  <m:sty m:val="p"/>
                </m:rPr>
                <m:t>S</m:t>
              </m:r>
            </m:e>
            <m:sub>
              <m:r>
                <m:t>i</m:t>
              </m:r>
            </m:sub>
            <m:sup>
              <m:r>
                <m:rPr>
                  <m:nor/>
                  <m:sty m:val="p"/>
                </m:rPr>
                <m:t>taxa</m:t>
              </m:r>
            </m:sup>
          </m:sSubSup>
          <m:r>
            <m:rPr>
              <m:sty m:val="p"/>
            </m:rPr>
            <m:t>=</m:t>
          </m:r>
          <m:r>
            <m:t>1</m:t>
          </m:r>
          <m:r>
            <m:rPr>
              <m:sty m:val="p"/>
            </m:rPr>
            <m:t>−</m:t>
          </m:r>
          <m:sSub>
            <m:e>
              <m:r>
                <m:t>r</m:t>
              </m:r>
            </m:e>
            <m:sub>
              <m:r>
                <m:t>i</m:t>
              </m:r>
            </m:sub>
          </m:sSub>
          <m:r>
            <m:rPr>
              <m:sty m:val="p"/>
            </m:rPr>
            <m:t>.</m:t>
          </m:r>
        </m:oMath>
      </m:oMathPara>
    </w:p>
    <w:p>
      <w:pPr>
        <w:pStyle w:val="DefinitionTerm"/>
      </w:pPr>
      <w:r>
        <w:t xml:space="preserve">B) Distância (Similaridade Média)</w:t>
      </w:r>
    </w:p>
    <w:p>
      <w:pPr>
        <w:pStyle w:val="Definition"/>
      </w:pPr>
      <w:r>
        <w:t xml:space="preserve">Penaliza postagens que são vetorialmente mais próximas das alegações falsas.</w:t>
      </w:r>
    </w:p>
    <w:p>
      <w:pPr>
        <w:pStyle w:val="Definition"/>
      </w:pPr>
      <m:oMathPara>
        <m:oMathParaPr>
          <m:jc m:val="center"/>
        </m:oMathParaPr>
        <m:oMath>
          <m:sSub>
            <m:e>
              <m:acc>
                <m:accPr>
                  <m:chr m:val="‾"/>
                </m:accPr>
                <m:e>
                  <m:r>
                    <m:t>s</m:t>
                  </m:r>
                </m:e>
              </m:acc>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t>1</m:t>
                        </m:r>
                      </m:num>
                      <m:den>
                        <m:sSub>
                          <m:e>
                            <m:r>
                              <m:t>c</m:t>
                            </m:r>
                          </m:e>
                          <m:sub>
                            <m:r>
                              <m:t>i</m:t>
                            </m:r>
                          </m:sub>
                        </m:sSub>
                      </m:den>
                    </m:f>
                    <m:nary>
                      <m:naryPr>
                        <m:chr m:val="∑"/>
                        <m:limLoc m:val="undOvr"/>
                        <m:subHide m:val="off"/>
                        <m:supHide m:val="on"/>
                      </m:naryPr>
                      <m:sub>
                        <m:r>
                          <m:t>s</m:t>
                        </m:r>
                        <m:r>
                          <m:rPr>
                            <m:sty m:val="p"/>
                          </m:rPr>
                          <m:t>∈</m:t>
                        </m:r>
                        <m:sSub>
                          <m:e>
                            <m:r>
                              <m:rPr>
                                <m:scr m:val="script"/>
                                <m:sty m:val="p"/>
                              </m:rPr>
                              <m:t>S</m:t>
                            </m:r>
                          </m:e>
                          <m:sub>
                            <m:r>
                              <m:t>i</m:t>
                            </m:r>
                          </m:sub>
                        </m:sSub>
                      </m:sub>
                      <m:sup>
                        <m:r>
                          <m:t>​</m:t>
                        </m:r>
                      </m:sup>
                      <m:e>
                        <m:r>
                          <m:t>s</m:t>
                        </m:r>
                      </m:e>
                    </m:nary>
                    <m:r>
                      <m:rPr>
                        <m:sty m:val="p"/>
                      </m:rPr>
                      <m:t>,</m:t>
                    </m:r>
                  </m:e>
                  <m:e>
                    <m:r>
                      <m:rPr>
                        <m:nor/>
                        <m:sty m:val="p"/>
                      </m:rPr>
                      <m:t>se </m:t>
                    </m:r>
                    <m:sSub>
                      <m:e>
                        <m:r>
                          <m:t>c</m:t>
                        </m:r>
                      </m:e>
                      <m:sub>
                        <m:r>
                          <m:t>i</m:t>
                        </m:r>
                      </m:sub>
                    </m:sSub>
                    <m:r>
                      <m:rPr>
                        <m:sty m:val="p"/>
                      </m:rPr>
                      <m:t>&gt;</m:t>
                    </m:r>
                    <m:r>
                      <m:t>0</m:t>
                    </m:r>
                    <m:r>
                      <m:rPr>
                        <m:sty m:val="p"/>
                      </m:rPr>
                      <m:t>,</m:t>
                    </m:r>
                  </m:e>
                </m:mr>
                <m:mr>
                  <m:e>
                    <m:r>
                      <m:t>0</m:t>
                    </m:r>
                    <m:r>
                      <m:rPr>
                        <m:sty m:val="p"/>
                      </m:rPr>
                      <m:t>,</m:t>
                    </m:r>
                  </m:e>
                  <m:e>
                    <m:r>
                      <m:rPr>
                        <m:nor/>
                        <m:sty m:val="p"/>
                      </m:rPr>
                      <m:t>se </m:t>
                    </m:r>
                    <m:sSub>
                      <m:e>
                        <m:r>
                          <m:t>c</m:t>
                        </m:r>
                      </m:e>
                      <m:sub>
                        <m:r>
                          <m:t>i</m:t>
                        </m:r>
                      </m:sub>
                    </m:sSub>
                    <m:r>
                      <m:rPr>
                        <m:sty m:val="p"/>
                      </m:rPr>
                      <m:t>=</m:t>
                    </m:r>
                    <m:r>
                      <m:t>0</m:t>
                    </m:r>
                  </m:e>
                </m:mr>
              </m:m>
            </m:e>
          </m:d>
          <m:r>
            <m:t> </m:t>
          </m:r>
          <m:r>
            <m:rPr>
              <m:sty m:val="p"/>
            </m:rPr>
            <m:t>⇒</m:t>
          </m:r>
          <m:r>
            <m:t> </m:t>
          </m:r>
          <m:sSubSup>
            <m:e>
              <m:r>
                <m:rPr>
                  <m:sty m:val="p"/>
                </m:rPr>
                <m:t>I</m:t>
              </m:r>
              <m:r>
                <m:rPr>
                  <m:sty m:val="p"/>
                </m:rPr>
                <m:t>F</m:t>
              </m:r>
              <m:r>
                <m:rPr>
                  <m:sty m:val="p"/>
                </m:rPr>
                <m:t>S</m:t>
              </m:r>
            </m:e>
            <m:sub>
              <m:r>
                <m:t>i</m:t>
              </m:r>
            </m:sub>
            <m:sup>
              <m:r>
                <m:rPr>
                  <m:nor/>
                  <m:sty m:val="p"/>
                </m:rPr>
                <m:t>dist</m:t>
              </m:r>
            </m:sup>
          </m:sSubSup>
          <m:r>
            <m:rPr>
              <m:sty m:val="p"/>
            </m:rPr>
            <m:t>=</m:t>
          </m:r>
          <m:r>
            <m:t>1</m:t>
          </m:r>
          <m:r>
            <m:rPr>
              <m:sty m:val="p"/>
            </m:rPr>
            <m:t>−</m:t>
          </m:r>
          <m:sSub>
            <m:e>
              <m:acc>
                <m:accPr>
                  <m:chr m:val="‾"/>
                </m:accPr>
                <m:e>
                  <m:r>
                    <m:t>s</m:t>
                  </m:r>
                </m:e>
              </m:acc>
            </m:e>
            <m:sub>
              <m:r>
                <m:t>i</m:t>
              </m:r>
            </m:sub>
          </m:sSub>
          <m:r>
            <m:rPr>
              <m:sty m:val="p"/>
            </m:rPr>
            <m:t>.</m:t>
          </m:r>
        </m:oMath>
      </m:oMathPara>
    </w:p>
    <w:bookmarkEnd w:id="40"/>
    <w:bookmarkStart w:id="41" w:name="desafios-metodológicos"/>
    <w:p>
      <w:pPr>
        <w:pStyle w:val="Heading2"/>
      </w:pPr>
      <w:r>
        <w:t xml:space="preserve">Desafios Metodológicos</w:t>
      </w:r>
    </w:p>
    <w:p>
      <w:pPr>
        <w:pStyle w:val="FirstParagraph"/>
      </w:pPr>
      <w:r>
        <w:t xml:space="preserve">A implementação do IFS enfrenta alguns desafios que exigem calibração e validação contínuas:</w:t>
      </w:r>
    </w:p>
    <w:p>
      <w:pPr>
        <w:numPr>
          <w:ilvl w:val="0"/>
          <w:numId w:val="1007"/>
        </w:numPr>
      </w:pPr>
      <w:r>
        <w:rPr>
          <w:b/>
          <w:bCs/>
        </w:rPr>
        <w:t xml:space="preserve">Polaridade</w:t>
      </w:r>
      <w:r>
        <w:t xml:space="preserve">: Distinguir com precisão entre</w:t>
      </w:r>
      <w:r>
        <w:t xml:space="preserve"> </w:t>
      </w:r>
      <w:r>
        <w:rPr>
          <w:i/>
          <w:iCs/>
        </w:rPr>
        <w:t xml:space="preserve">denúncia</w:t>
      </w:r>
      <w:r>
        <w:t xml:space="preserve"> </w:t>
      </w:r>
      <w:r>
        <w:t xml:space="preserve">e</w:t>
      </w:r>
      <w:r>
        <w:t xml:space="preserve"> </w:t>
      </w:r>
      <w:r>
        <w:rPr>
          <w:i/>
          <w:iCs/>
        </w:rPr>
        <w:t xml:space="preserve">propagação</w:t>
      </w:r>
      <w:r>
        <w:t xml:space="preserve"> </w:t>
      </w:r>
      <w:r>
        <w:t xml:space="preserve">de desinformação é um dos principais desafios, demandando modelos robustos de</w:t>
      </w:r>
      <w:r>
        <w:t xml:space="preserve"> </w:t>
      </w:r>
      <w:r>
        <w:rPr>
          <w:i/>
          <w:iCs/>
        </w:rPr>
        <w:t xml:space="preserve">stance detection</w:t>
      </w:r>
      <w:r>
        <w:t xml:space="preserve">.</w:t>
      </w:r>
    </w:p>
    <w:p>
      <w:pPr>
        <w:numPr>
          <w:ilvl w:val="0"/>
          <w:numId w:val="1007"/>
        </w:numPr>
      </w:pPr>
      <w:r>
        <w:rPr>
          <w:b/>
          <w:bCs/>
        </w:rPr>
        <w:t xml:space="preserve">Limiar de similaridade (</w:t>
      </w:r>
      <m:oMath>
        <m:r>
          <m:t>τ</m:t>
        </m:r>
      </m:oMath>
      <w:r>
        <w:rPr>
          <w:b/>
          <w:bCs/>
        </w:rPr>
        <w:t xml:space="preserve">)</w:t>
      </w:r>
      <w:r>
        <w:t xml:space="preserve">: A definição do limiar</w:t>
      </w:r>
      <w:r>
        <w:t xml:space="preserve"> </w:t>
      </w:r>
      <m:oMath>
        <m:r>
          <m:t>τ</m:t>
        </m:r>
      </m:oMath>
      <w:r>
        <w:t xml:space="preserve"> </w:t>
      </w:r>
      <w:r>
        <w:t xml:space="preserve">é um ponto crítico que afeta diretamente a sensibilidade e a especificidade do índice. Sua calibração deve ser realizada por meio de análises de curvas ROC/PR e validação com anotação humana para mitigar falsos positivos e negativos.</w:t>
      </w:r>
    </w:p>
    <w:p>
      <w:pPr>
        <w:numPr>
          <w:ilvl w:val="0"/>
          <w:numId w:val="1007"/>
        </w:numPr>
      </w:pPr>
      <w:r>
        <w:rPr>
          <w:b/>
          <w:bCs/>
        </w:rPr>
        <w:t xml:space="preserve">Cobertura do corpus</w:t>
      </w:r>
      <w:r>
        <w:t xml:space="preserve">: A qualidade do índice depende da representatividade e da atualização contínua do corpus de referência, que deve abranger diferentes temas e períodos.</w:t>
      </w:r>
    </w:p>
    <w:bookmarkEnd w:id="41"/>
    <w:bookmarkEnd w:id="42"/>
    <w:bookmarkStart w:id="45" w:name="appendix:ird"/>
    <w:p>
      <w:pPr>
        <w:pStyle w:val="Heading1"/>
      </w:pPr>
      <w:r>
        <w:t xml:space="preserve">Apêndice</w:t>
      </w:r>
    </w:p>
    <w:p>
      <w:pPr>
        <w:pStyle w:val="FirstParagraph"/>
      </w:pPr>
      <w:r>
        <w:t xml:space="preserve">Considere um conjunto de</w:t>
      </w:r>
      <w:r>
        <w:t xml:space="preserve"> </w:t>
      </w:r>
      <m:oMath>
        <m:r>
          <m:t>N</m:t>
        </m:r>
      </m:oMath>
      <w:r>
        <w:t xml:space="preserve"> </w:t>
      </w:r>
      <w:r>
        <w:t xml:space="preserve">indivíduos, cada um associado a um peso</w:t>
      </w:r>
      <w:r>
        <w:t xml:space="preserve"> </w:t>
      </w:r>
      <m:oMath>
        <m:sSub>
          <m:e>
            <m:r>
              <m:t>w</m:t>
            </m:r>
          </m:e>
          <m:sub>
            <m:r>
              <m:t>i</m:t>
            </m:r>
          </m:sub>
        </m:sSub>
        <m:r>
          <m:rPr>
            <m:sty m:val="p"/>
          </m:rPr>
          <m:t>∈</m:t>
        </m:r>
        <m:r>
          <m:rPr>
            <m:sty m:val="p"/>
          </m:rPr>
          <m:t>[</m:t>
        </m:r>
        <m:r>
          <m:t>0</m:t>
        </m:r>
        <m:r>
          <m:rPr>
            <m:sty m:val="p"/>
          </m:rPr>
          <m:t>,</m:t>
        </m:r>
        <m:r>
          <m:t>N</m:t>
        </m:r>
        <m:r>
          <m:rPr>
            <m:sty m:val="p"/>
          </m:rPr>
          <m:t>]</m:t>
        </m:r>
      </m:oMath>
      <w:r>
        <w:t xml:space="preserve">, sujeito à restrição</w:t>
      </w:r>
      <w:r>
        <w:t xml:space="preserve"> </w:t>
      </w:r>
      <m:oMath>
        <m:nary>
          <m:naryPr>
            <m:chr m:val="∑"/>
            <m:limLoc m:val="undOvr"/>
            <m:subHide m:val="off"/>
            <m:supHide m:val="off"/>
          </m:naryPr>
          <m:sub>
            <m:r>
              <m:t>i</m:t>
            </m:r>
            <m:r>
              <m:rPr>
                <m:sty m:val="p"/>
              </m:rPr>
              <m:t>=</m:t>
            </m:r>
            <m:r>
              <m:t>1</m:t>
            </m:r>
          </m:sub>
          <m:sup>
            <m:r>
              <m:t>N</m:t>
            </m:r>
          </m:sup>
          <m:e>
            <m:sSub>
              <m:e>
                <m:r>
                  <m:t>w</m:t>
                </m:r>
              </m:e>
              <m:sub>
                <m:r>
                  <m:t>i</m:t>
                </m:r>
              </m:sub>
            </m:sSub>
          </m:e>
        </m:nary>
        <m:r>
          <m:rPr>
            <m:sty m:val="p"/>
          </m:rPr>
          <m:t>=</m:t>
        </m:r>
        <m:r>
          <m:t>N</m:t>
        </m:r>
      </m:oMath>
      <w:r>
        <w:t xml:space="preserve">.</w:t>
      </w:r>
      <w:r>
        <w:t xml:space="preserve"> </w:t>
      </w:r>
      <w:r>
        <w:t xml:space="preserve">Definimos a distância média</w:t>
      </w:r>
      <w:r>
        <w:t xml:space="preserve"> </w:t>
      </w:r>
      <m:oMath>
        <m:r>
          <m:t>d</m:t>
        </m:r>
      </m:oMath>
      <w:r>
        <w:t xml:space="preserve"> </w:t>
      </w:r>
      <w:r>
        <w:t xml:space="preserve">como a medida do desvio absoluto dos pesos em relação ao valor de referência</w:t>
      </w:r>
      <w:r>
        <w:t xml:space="preserve"> </w:t>
      </w:r>
      <m:oMath>
        <m:r>
          <m:t>1</m:t>
        </m:r>
      </m:oMath>
      <w:r>
        <w:t xml:space="preserve">:</w:t>
      </w:r>
    </w:p>
    <w:p>
      <w:pPr>
        <w:pStyle w:val="BodyText"/>
      </w:pPr>
      <m:oMathPara>
        <m:oMathParaPr>
          <m:jc m:val="center"/>
        </m:oMathParaPr>
        <m:oMath>
          <m:r>
            <m:t>d</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w</m:t>
              </m:r>
            </m:e>
            <m:sub>
              <m:r>
                <m:t>i</m:t>
              </m:r>
            </m:sub>
          </m:sSub>
          <m:r>
            <m:rPr>
              <m:sty m:val="p"/>
            </m:rPr>
            <m:t>−</m:t>
          </m:r>
          <m:r>
            <m:t>1</m:t>
          </m:r>
          <m:r>
            <m:rPr>
              <m:sty m:val="p"/>
            </m:rPr>
            <m:t>|</m:t>
          </m:r>
          <m:r>
            <m:rPr>
              <m:sty m:val="p"/>
            </m:rPr>
            <m:t>.</m:t>
          </m:r>
        </m:oMath>
      </m:oMathPara>
    </w:p>
    <w:bookmarkStart w:id="43" w:name="limites-de-d"/>
    <w:p>
      <w:pPr>
        <w:pStyle w:val="Heading2"/>
      </w:pPr>
      <w:r>
        <w:t xml:space="preserve">Limites de</w:t>
      </w:r>
      <w:r>
        <w:t xml:space="preserve"> </w:t>
      </w:r>
      <m:oMath>
        <m:r>
          <m:t>d</m:t>
        </m:r>
      </m:oMath>
    </w:p>
    <w:p>
      <w:pPr>
        <w:pStyle w:val="FirstParagraph"/>
      </w:pPr>
      <w:r>
        <w:t xml:space="preserve">O limite inferior de</w:t>
      </w:r>
      <w:r>
        <w:t xml:space="preserve"> </w:t>
      </w:r>
      <m:oMath>
        <m:r>
          <m:t>d</m:t>
        </m:r>
      </m:oMath>
      <w:r>
        <w:t xml:space="preserve"> </w:t>
      </w:r>
      <w:r>
        <w:t xml:space="preserve">ocorre quando todos os indivíduos apresentam pesos iguais a</w:t>
      </w:r>
      <w:r>
        <w:t xml:space="preserve"> </w:t>
      </w:r>
      <m:oMath>
        <m:r>
          <m:t>1</m:t>
        </m:r>
      </m:oMath>
      <w:r>
        <w:t xml:space="preserve">, de modo que</w:t>
      </w:r>
      <w:r>
        <w:t xml:space="preserve"> </w:t>
      </w:r>
      <m:oMath>
        <m:nary>
          <m:naryPr>
            <m:chr m:val="∑"/>
            <m:limLoc m:val="undOvr"/>
            <m:subHide m:val="off"/>
            <m:supHide m:val="off"/>
          </m:naryPr>
          <m:sub>
            <m:r>
              <m:t>i</m:t>
            </m:r>
            <m:r>
              <m:rPr>
                <m:sty m:val="p"/>
              </m:rPr>
              <m:t>=</m:t>
            </m:r>
            <m:r>
              <m:t>1</m:t>
            </m:r>
          </m:sub>
          <m:sup>
            <m:r>
              <m:t>N</m:t>
            </m:r>
          </m:sup>
          <m:e>
            <m:r>
              <m:rPr>
                <m:sty m:val="p"/>
              </m:rPr>
              <m:t>|</m:t>
            </m:r>
          </m:e>
        </m:nary>
        <m:sSub>
          <m:e>
            <m:r>
              <m:t>w</m:t>
            </m:r>
          </m:e>
          <m:sub>
            <m:r>
              <m:t>i</m:t>
            </m:r>
          </m:sub>
        </m:sSub>
        <m:r>
          <m:rPr>
            <m:sty m:val="p"/>
          </m:rPr>
          <m:t>−</m:t>
        </m:r>
        <m:r>
          <m:t>1</m:t>
        </m:r>
        <m:r>
          <m:rPr>
            <m:sty m:val="p"/>
          </m:rPr>
          <m:t>|</m:t>
        </m:r>
        <m:r>
          <m:rPr>
            <m:sty m:val="p"/>
          </m:rPr>
          <m:t>=</m:t>
        </m:r>
        <m:r>
          <m:t>0</m:t>
        </m:r>
      </m:oMath>
      <w:r>
        <w:t xml:space="preserve">. Nesse caso, tem-se simplesmente:</w:t>
      </w:r>
    </w:p>
    <w:p>
      <w:pPr>
        <w:pStyle w:val="BodyText"/>
      </w:pPr>
      <m:oMathPara>
        <m:oMathParaPr>
          <m:jc m:val="center"/>
        </m:oMathParaPr>
        <m:oMath>
          <m:sSub>
            <m:e>
              <m:r>
                <m:t>d</m:t>
              </m:r>
            </m:e>
            <m:sub>
              <m:r>
                <m:rPr>
                  <m:sty m:val="p"/>
                </m:rPr>
                <m:t>min</m:t>
              </m:r>
            </m:sub>
          </m:sSub>
          <m:r>
            <m:rPr>
              <m:sty m:val="p"/>
            </m:rPr>
            <m:t>=</m:t>
          </m:r>
          <m:r>
            <m:t>0</m:t>
          </m:r>
          <m:r>
            <m:rPr>
              <m:sty m:val="p"/>
            </m:rPr>
            <m:t>.</m:t>
          </m:r>
        </m:oMath>
      </m:oMathPara>
    </w:p>
    <w:p>
      <w:pPr>
        <w:pStyle w:val="FirstParagraph"/>
      </w:pPr>
      <w:r>
        <w:t xml:space="preserve">Já o limite superior é obtido em uma situação de desigualdade extrema, em que um único indivíduo concentra todo o peso (</w:t>
      </w:r>
      <m:oMath>
        <m:sSub>
          <m:e>
            <m:r>
              <m:t>w</m:t>
            </m:r>
          </m:e>
          <m:sub>
            <m:r>
              <m:t>i</m:t>
            </m:r>
          </m:sub>
        </m:sSub>
        <m:r>
          <m:rPr>
            <m:sty m:val="p"/>
          </m:rPr>
          <m:t>=</m:t>
        </m:r>
        <m:r>
          <m:t>N</m:t>
        </m:r>
      </m:oMath>
      <w:r>
        <w:t xml:space="preserve">) e os demais apresentam peso nulo (</w:t>
      </w:r>
      <m:oMath>
        <m:sSub>
          <m:e>
            <m:r>
              <m:t>w</m:t>
            </m:r>
          </m:e>
          <m:sub>
            <m:r>
              <m:t>j</m:t>
            </m:r>
          </m:sub>
        </m:sSub>
        <m:r>
          <m:rPr>
            <m:sty m:val="p"/>
          </m:rPr>
          <m:t>=</m:t>
        </m:r>
        <m:r>
          <m:t>0</m:t>
        </m:r>
      </m:oMath>
      <w:r>
        <w:t xml:space="preserve">, para</w:t>
      </w:r>
      <w:r>
        <w:t xml:space="preserve"> </w:t>
      </w:r>
      <m:oMath>
        <m:r>
          <m:t>j</m:t>
        </m:r>
        <m:r>
          <m:rPr>
            <m:sty m:val="p"/>
          </m:rPr>
          <m:t>≠</m:t>
        </m:r>
        <m:r>
          <m:t>i</m:t>
        </m:r>
      </m:oMath>
      <w:r>
        <w:t xml:space="preserve">). Assim:</w:t>
      </w:r>
    </w:p>
    <w:p>
      <w:pPr>
        <w:pStyle w:val="BodyText"/>
      </w:pPr>
      <m:oMathPara>
        <m:oMathParaPr>
          <m:jc m:val="center"/>
        </m:oMathParaPr>
        <m:oMath>
          <m:eqArr>
            <m:e>
              <m:sSub>
                <m:e>
                  <m:r>
                    <m:t>d</m:t>
                  </m:r>
                </m:e>
                <m:sub>
                  <m:r>
                    <m:rPr>
                      <m:sty m:val="p"/>
                    </m:rPr>
                    <m:t>max</m:t>
                  </m:r>
                </m:sub>
              </m:sSub>
              <m:r>
                <m:t>&amp;</m:t>
              </m:r>
              <m:r>
                <m:rPr>
                  <m:sty m:val="p"/>
                </m:rPr>
                <m:t>=</m:t>
              </m:r>
              <m:f>
                <m:fPr>
                  <m:type m:val="bar"/>
                </m:fPr>
                <m:num>
                  <m:r>
                    <m:t>1</m:t>
                  </m:r>
                </m:num>
                <m:den>
                  <m:r>
                    <m:t>N</m:t>
                  </m:r>
                </m:den>
              </m:f>
              <m:d>
                <m:dPr>
                  <m:begChr m:val="("/>
                  <m:sepChr m:val=""/>
                  <m:endChr m:val=")"/>
                  <m:grow/>
                </m:dPr>
                <m:e>
                  <m:r>
                    <m:rPr>
                      <m:sty m:val="p"/>
                    </m:rPr>
                    <m:t>|</m:t>
                  </m:r>
                  <m:r>
                    <m:t>N</m:t>
                  </m:r>
                  <m:r>
                    <m:rPr>
                      <m:sty m:val="p"/>
                    </m:rPr>
                    <m:t>−</m:t>
                  </m:r>
                  <m:r>
                    <m:t>1</m:t>
                  </m:r>
                  <m:r>
                    <m:rPr>
                      <m:sty m:val="p"/>
                    </m:rPr>
                    <m:t>|</m:t>
                  </m:r>
                  <m:r>
                    <m:rPr>
                      <m:sty m:val="p"/>
                    </m:rPr>
                    <m:t>+</m:t>
                  </m:r>
                  <m:r>
                    <m:rPr>
                      <m:sty m:val="p"/>
                    </m:rPr>
                    <m:t>(</m:t>
                  </m:r>
                  <m:r>
                    <m:t>N</m:t>
                  </m:r>
                  <m:r>
                    <m:rPr>
                      <m:sty m:val="p"/>
                    </m:rPr>
                    <m:t>−</m:t>
                  </m:r>
                  <m:r>
                    <m:t>1</m:t>
                  </m:r>
                  <m:r>
                    <m:rPr>
                      <m:sty m:val="p"/>
                    </m:rPr>
                    <m:t>)</m:t>
                  </m:r>
                  <m:r>
                    <m:rPr>
                      <m:sty m:val="p"/>
                    </m:rPr>
                    <m:t>|</m:t>
                  </m:r>
                  <m:r>
                    <m:t>0</m:t>
                  </m:r>
                  <m:r>
                    <m:rPr>
                      <m:sty m:val="p"/>
                    </m:rPr>
                    <m:t>−</m:t>
                  </m:r>
                  <m:r>
                    <m:t>1</m:t>
                  </m:r>
                  <m:r>
                    <m:rPr>
                      <m:sty m:val="p"/>
                    </m:rPr>
                    <m:t>|</m:t>
                  </m:r>
                </m:e>
              </m:d>
            </m:e>
            <m:e>
              <m:r>
                <m:t>&amp;</m:t>
              </m:r>
              <m:r>
                <m:rPr>
                  <m:sty m:val="p"/>
                </m:rPr>
                <m:t>=</m:t>
              </m:r>
              <m:f>
                <m:fPr>
                  <m:type m:val="bar"/>
                </m:fPr>
                <m:num>
                  <m:r>
                    <m:t>1</m:t>
                  </m:r>
                </m:num>
                <m:den>
                  <m:r>
                    <m:t>N</m:t>
                  </m:r>
                </m:den>
              </m:f>
              <m:d>
                <m:dPr>
                  <m:begChr m:val="("/>
                  <m:sepChr m:val=""/>
                  <m:endChr m:val=")"/>
                  <m:grow/>
                </m:dPr>
                <m:e>
                  <m:r>
                    <m:rPr>
                      <m:sty m:val="p"/>
                    </m:rPr>
                    <m:t>(</m:t>
                  </m:r>
                  <m:r>
                    <m:t>N</m:t>
                  </m:r>
                  <m:r>
                    <m:rPr>
                      <m:sty m:val="p"/>
                    </m:rPr>
                    <m:t>−</m:t>
                  </m:r>
                  <m:r>
                    <m:t>1</m:t>
                  </m:r>
                  <m:r>
                    <m:rPr>
                      <m:sty m:val="p"/>
                    </m:rPr>
                    <m:t>)</m:t>
                  </m:r>
                  <m:r>
                    <m:rPr>
                      <m:sty m:val="p"/>
                    </m:rPr>
                    <m:t>+</m:t>
                  </m:r>
                  <m:r>
                    <m:rPr>
                      <m:sty m:val="p"/>
                    </m:rPr>
                    <m:t>(</m:t>
                  </m:r>
                  <m:r>
                    <m:t>N</m:t>
                  </m:r>
                  <m:r>
                    <m:rPr>
                      <m:sty m:val="p"/>
                    </m:rPr>
                    <m:t>−</m:t>
                  </m:r>
                  <m:r>
                    <m:t>1</m:t>
                  </m:r>
                  <m:r>
                    <m:rPr>
                      <m:sty m:val="p"/>
                    </m:rPr>
                    <m:t>)</m:t>
                  </m:r>
                </m:e>
              </m:d>
            </m:e>
            <m:e>
              <m:r>
                <m:t>&amp;</m:t>
              </m:r>
              <m:r>
                <m:rPr>
                  <m:sty m:val="p"/>
                </m:rPr>
                <m:t>=</m:t>
              </m:r>
              <m:f>
                <m:fPr>
                  <m:type m:val="bar"/>
                </m:fPr>
                <m:num>
                  <m:r>
                    <m:t>2</m:t>
                  </m:r>
                  <m:r>
                    <m:rPr>
                      <m:sty m:val="p"/>
                    </m:rPr>
                    <m:t>(</m:t>
                  </m:r>
                  <m:r>
                    <m:t>N</m:t>
                  </m:r>
                  <m:r>
                    <m:rPr>
                      <m:sty m:val="p"/>
                    </m:rPr>
                    <m:t>−</m:t>
                  </m:r>
                  <m:r>
                    <m:t>1</m:t>
                  </m:r>
                  <m:r>
                    <m:rPr>
                      <m:sty m:val="p"/>
                    </m:rPr>
                    <m:t>)</m:t>
                  </m:r>
                </m:num>
                <m:den>
                  <m:r>
                    <m:t>N</m:t>
                  </m:r>
                </m:den>
              </m:f>
            </m:e>
            <m:e>
              <m:r>
                <m:t>&amp;</m:t>
              </m:r>
              <m:r>
                <m:rPr>
                  <m:sty m:val="p"/>
                </m:rPr>
                <m:t>=</m:t>
              </m:r>
              <m:r>
                <m:t>2</m:t>
              </m:r>
              <m:d>
                <m:dPr>
                  <m:begChr m:val="("/>
                  <m:sepChr m:val=""/>
                  <m:endChr m:val=")"/>
                  <m:grow/>
                </m:dPr>
                <m:e>
                  <m:r>
                    <m:t>1</m:t>
                  </m:r>
                  <m:r>
                    <m:rPr>
                      <m:sty m:val="p"/>
                    </m:rPr>
                    <m:t>−</m:t>
                  </m:r>
                  <m:f>
                    <m:fPr>
                      <m:type m:val="lin"/>
                    </m:fPr>
                    <m:num>
                      <m:r>
                        <m:t>1</m:t>
                      </m:r>
                    </m:num>
                    <m:den>
                      <m:r>
                        <m:t>N</m:t>
                      </m:r>
                    </m:den>
                  </m:f>
                </m:e>
              </m:d>
              <m:r>
                <m:rPr>
                  <m:sty m:val="p"/>
                </m:rPr>
                <m:t>.</m:t>
              </m:r>
            </m:e>
          </m:eqArr>
        </m:oMath>
      </m:oMathPara>
    </w:p>
    <w:p>
      <w:pPr>
        <w:pStyle w:val="FirstParagraph"/>
      </w:pPr>
      <w:r>
        <w:t xml:space="preserve">Portanto,</w:t>
      </w:r>
      <w:r>
        <w:t xml:space="preserve"> </w:t>
      </w:r>
      <m:oMath>
        <m:r>
          <m:t>d</m:t>
        </m:r>
      </m:oMath>
      <w:r>
        <w:t xml:space="preserve"> </w:t>
      </w:r>
      <w:r>
        <w:t xml:space="preserve">pertence ao intervalo</w:t>
      </w:r>
    </w:p>
    <w:p>
      <w:pPr>
        <w:pStyle w:val="BodyText"/>
      </w:pPr>
      <m:oMathPara>
        <m:oMathParaPr>
          <m:jc m:val="center"/>
        </m:oMathParaPr>
        <m:oMath>
          <m:r>
            <m:t>d</m:t>
          </m:r>
          <m:r>
            <m:rPr>
              <m:sty m:val="p"/>
            </m:rPr>
            <m:t>∈</m:t>
          </m:r>
          <m:d>
            <m:dPr>
              <m:begChr m:val="["/>
              <m:sepChr m:val=""/>
              <m:endChr m:val="]"/>
              <m:grow/>
            </m:dPr>
            <m:e>
              <m:r>
                <m:t>0</m:t>
              </m:r>
              <m:r>
                <m:rPr>
                  <m:sty m:val="p"/>
                </m:rPr>
                <m:t>,</m:t>
              </m:r>
              <m:r>
                <m:t> </m:t>
              </m:r>
              <m:r>
                <m:t>2</m:t>
              </m:r>
              <m:d>
                <m:dPr>
                  <m:begChr m:val="("/>
                  <m:sepChr m:val=""/>
                  <m:endChr m:val=")"/>
                  <m:grow/>
                </m:dPr>
                <m:e>
                  <m:r>
                    <m:t>1</m:t>
                  </m:r>
                  <m:r>
                    <m:rPr>
                      <m:sty m:val="p"/>
                    </m:rPr>
                    <m:t>−</m:t>
                  </m:r>
                  <m:f>
                    <m:fPr>
                      <m:type m:val="lin"/>
                    </m:fPr>
                    <m:num>
                      <m:r>
                        <m:t>1</m:t>
                      </m:r>
                    </m:num>
                    <m:den>
                      <m:r>
                        <m:t>N</m:t>
                      </m:r>
                    </m:den>
                  </m:f>
                </m:e>
              </m:d>
            </m:e>
          </m:d>
          <m:r>
            <m:rPr>
              <m:sty m:val="p"/>
            </m:rPr>
            <m:t>.</m:t>
          </m:r>
        </m:oMath>
      </m:oMathPara>
    </w:p>
    <w:bookmarkEnd w:id="43"/>
    <w:bookmarkStart w:id="44" w:name="normalização-e-definição-do-índice-ird"/>
    <w:p>
      <w:pPr>
        <w:pStyle w:val="Heading2"/>
      </w:pPr>
      <w:r>
        <w:t xml:space="preserve">Normalização e definição do índice IRD</w:t>
      </w:r>
    </w:p>
    <w:p>
      <w:pPr>
        <w:pStyle w:val="FirstParagraph"/>
      </w:pPr>
      <w:r>
        <w:t xml:space="preserve">Com base nesse limite superior, definimos o índice de representatividade descritiva (IRD) como a distância relativa da amostra em relação ao caso de máximo desequilíbrio. Assim:</w:t>
      </w:r>
    </w:p>
    <w:p>
      <w:pPr>
        <w:pStyle w:val="BodyText"/>
      </w:pPr>
      <m:oMathPara>
        <m:oMathParaPr>
          <m:jc m:val="center"/>
        </m:oMathParaPr>
        <m:oMath>
          <m:eqArr>
            <m:e>
              <m:r>
                <m:t>I</m:t>
              </m:r>
              <m:r>
                <m:t>R</m:t>
              </m:r>
              <m:r>
                <m:t>D</m:t>
              </m:r>
              <m:r>
                <m:t>&amp;</m:t>
              </m:r>
              <m:r>
                <m:rPr>
                  <m:sty m:val="p"/>
                </m:rPr>
                <m:t>=</m:t>
              </m:r>
              <m:r>
                <m:t>1</m:t>
              </m:r>
              <m:r>
                <m:rPr>
                  <m:sty m:val="p"/>
                </m:rPr>
                <m:t>−</m:t>
              </m:r>
              <m:f>
                <m:fPr>
                  <m:type m:val="bar"/>
                </m:fPr>
                <m:num>
                  <m:r>
                    <m:t>d</m:t>
                  </m:r>
                </m:num>
                <m:den>
                  <m:sSub>
                    <m:e>
                      <m:r>
                        <m:t>d</m:t>
                      </m:r>
                    </m:e>
                    <m:sub>
                      <m:r>
                        <m:rPr>
                          <m:sty m:val="p"/>
                        </m:rPr>
                        <m:t>max</m:t>
                      </m:r>
                    </m:sub>
                  </m:sSub>
                </m:den>
              </m:f>
            </m:e>
            <m:e>
              <m:r>
                <m:t>&amp;</m:t>
              </m:r>
              <m:r>
                <m:rPr>
                  <m:sty m:val="p"/>
                </m:rPr>
                <m:t>=</m:t>
              </m:r>
              <m:r>
                <m:t>1</m:t>
              </m:r>
              <m:r>
                <m:rPr>
                  <m:sty m:val="p"/>
                </m:rPr>
                <m:t>−</m:t>
              </m:r>
              <m:f>
                <m:fPr>
                  <m:type m:val="bar"/>
                </m:fPr>
                <m:num>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w</m:t>
                      </m:r>
                    </m:e>
                    <m:sub>
                      <m:r>
                        <m:t>i</m:t>
                      </m:r>
                    </m:sub>
                  </m:sSub>
                  <m:r>
                    <m:rPr>
                      <m:sty m:val="p"/>
                    </m:rPr>
                    <m:t>−</m:t>
                  </m:r>
                  <m:r>
                    <m:t>1</m:t>
                  </m:r>
                  <m:r>
                    <m:rPr>
                      <m:sty m:val="p"/>
                    </m:rPr>
                    <m:t>|</m:t>
                  </m:r>
                </m:num>
                <m:den>
                  <m:r>
                    <m:t>2</m:t>
                  </m:r>
                  <m:d>
                    <m:dPr>
                      <m:begChr m:val="("/>
                      <m:sepChr m:val=""/>
                      <m:endChr m:val=")"/>
                      <m:grow/>
                    </m:dPr>
                    <m:e>
                      <m:r>
                        <m:t>1</m:t>
                      </m:r>
                      <m:r>
                        <m:rPr>
                          <m:sty m:val="p"/>
                        </m:rPr>
                        <m:t>−</m:t>
                      </m:r>
                      <m:f>
                        <m:fPr>
                          <m:type m:val="lin"/>
                        </m:fPr>
                        <m:num>
                          <m:r>
                            <m:t>1</m:t>
                          </m:r>
                        </m:num>
                        <m:den>
                          <m:r>
                            <m:t>N</m:t>
                          </m:r>
                        </m:den>
                      </m:f>
                    </m:e>
                  </m:d>
                </m:den>
              </m:f>
            </m:e>
            <m:e>
              <m:r>
                <m:t>&amp;</m:t>
              </m:r>
              <m:r>
                <m:rPr>
                  <m:sty m:val="p"/>
                </m:rPr>
                <m:t>=</m:t>
              </m:r>
              <m:r>
                <m:t>1</m:t>
              </m:r>
              <m:r>
                <m:rPr>
                  <m:sty m:val="p"/>
                </m:rPr>
                <m:t>−</m:t>
              </m:r>
              <m:f>
                <m:fPr>
                  <m:type m:val="bar"/>
                </m:fPr>
                <m:num>
                  <m:nary>
                    <m:naryPr>
                      <m:chr m:val="∑"/>
                      <m:limLoc m:val="undOvr"/>
                      <m:subHide m:val="off"/>
                      <m:supHide m:val="off"/>
                    </m:naryPr>
                    <m:sub>
                      <m:r>
                        <m:t>i</m:t>
                      </m:r>
                      <m:r>
                        <m:rPr>
                          <m:sty m:val="p"/>
                        </m:rPr>
                        <m:t>=</m:t>
                      </m:r>
                      <m:r>
                        <m:t>1</m:t>
                      </m:r>
                    </m:sub>
                    <m:sup>
                      <m:r>
                        <m:t>N</m:t>
                      </m:r>
                    </m:sup>
                    <m:e>
                      <m:r>
                        <m:rPr>
                          <m:sty m:val="p"/>
                        </m:rPr>
                        <m:t>|</m:t>
                      </m:r>
                    </m:e>
                  </m:nary>
                  <m:sSub>
                    <m:e>
                      <m:r>
                        <m:t>w</m:t>
                      </m:r>
                    </m:e>
                    <m:sub>
                      <m:r>
                        <m:t>i</m:t>
                      </m:r>
                    </m:sub>
                  </m:sSub>
                  <m:r>
                    <m:rPr>
                      <m:sty m:val="p"/>
                    </m:rPr>
                    <m:t>−</m:t>
                  </m:r>
                  <m:r>
                    <m:t>1</m:t>
                  </m:r>
                  <m:r>
                    <m:rPr>
                      <m:sty m:val="p"/>
                    </m:rPr>
                    <m:t>|</m:t>
                  </m:r>
                </m:num>
                <m:den>
                  <m:r>
                    <m:t>2</m:t>
                  </m:r>
                  <m:r>
                    <m:t>N</m:t>
                  </m:r>
                  <m:r>
                    <m:rPr>
                      <m:sty m:val="p"/>
                    </m:rPr>
                    <m:t>−</m:t>
                  </m:r>
                  <m:r>
                    <m:t>2</m:t>
                  </m:r>
                </m:den>
              </m:f>
            </m:e>
            <m:e>
              <m:r>
                <m:t>&amp;</m:t>
              </m:r>
              <m:r>
                <m:rPr>
                  <m:sty m:val="p"/>
                </m:rPr>
                <m:t>=</m:t>
              </m:r>
              <m:r>
                <m:t>1</m:t>
              </m:r>
              <m:r>
                <m:rPr>
                  <m:sty m:val="p"/>
                </m:rPr>
                <m:t>−</m:t>
              </m:r>
              <m:f>
                <m:fPr>
                  <m:type m:val="bar"/>
                </m:fPr>
                <m:num>
                  <m:r>
                    <m:t>1</m:t>
                  </m:r>
                </m:num>
                <m:den>
                  <m:r>
                    <m:t>2</m:t>
                  </m:r>
                  <m:r>
                    <m:rPr>
                      <m:sty m:val="p"/>
                    </m:rPr>
                    <m:t>(</m:t>
                  </m:r>
                  <m:r>
                    <m:t>N</m:t>
                  </m:r>
                  <m:r>
                    <m:rPr>
                      <m:sty m:val="p"/>
                    </m:rPr>
                    <m:t>−</m:t>
                  </m:r>
                  <m:r>
                    <m:t>1</m:t>
                  </m:r>
                  <m:r>
                    <m:rPr>
                      <m:sty m:val="p"/>
                    </m:rPr>
                    <m:t>)</m:t>
                  </m:r>
                </m:den>
              </m:f>
              <m:nary>
                <m:naryPr>
                  <m:chr m:val="∑"/>
                  <m:limLoc m:val="undOvr"/>
                  <m:subHide m:val="off"/>
                  <m:supHide m:val="off"/>
                </m:naryPr>
                <m:sub>
                  <m:r>
                    <m:t>i</m:t>
                  </m:r>
                  <m:r>
                    <m:rPr>
                      <m:sty m:val="p"/>
                    </m:rPr>
                    <m:t>=</m:t>
                  </m:r>
                  <m:r>
                    <m:t>1</m:t>
                  </m:r>
                </m:sub>
                <m:sup>
                  <m:r>
                    <m:t>N</m:t>
                  </m:r>
                </m:sup>
                <m:e>
                  <m:r>
                    <m:rPr>
                      <m:sty m:val="p"/>
                    </m:rPr>
                    <m:t>|</m:t>
                  </m:r>
                </m:e>
              </m:nary>
              <m:sSub>
                <m:e>
                  <m:r>
                    <m:t>w</m:t>
                  </m:r>
                </m:e>
                <m:sub>
                  <m:r>
                    <m:t>i</m:t>
                  </m:r>
                </m:sub>
              </m:sSub>
              <m:r>
                <m:rPr>
                  <m:sty m:val="p"/>
                </m:rPr>
                <m:t>−</m:t>
              </m:r>
              <m:r>
                <m:t>1</m:t>
              </m:r>
              <m:r>
                <m:rPr>
                  <m:sty m:val="p"/>
                </m:rPr>
                <m:t>|</m:t>
              </m:r>
              <m:r>
                <m:rPr>
                  <m:sty m:val="p"/>
                </m:rPr>
                <m:t>.</m:t>
              </m:r>
            </m:e>
          </m:eqArr>
        </m:oMath>
      </m:oMathPara>
    </w:p>
    <w:p>
      <w:pPr>
        <w:pStyle w:val="FirstParagraph"/>
      </w:pPr>
      <w:r>
        <w:t xml:space="preserve">O fator de normalização</w:t>
      </w:r>
      <w:r>
        <w:t xml:space="preserve"> </w:t>
      </w:r>
      <m:oMath>
        <m:f>
          <m:fPr>
            <m:type m:val="lin"/>
          </m:fPr>
          <m:num>
            <m:r>
              <m:t>1</m:t>
            </m:r>
          </m:num>
          <m:den>
            <m:r>
              <m:t>2</m:t>
            </m:r>
            <m:r>
              <m:rPr>
                <m:sty m:val="p"/>
              </m:rPr>
              <m:t>(</m:t>
            </m:r>
            <m:r>
              <m:t>1</m:t>
            </m:r>
            <m:r>
              <m:rPr>
                <m:sty m:val="p"/>
              </m:rPr>
              <m:t>−</m:t>
            </m:r>
            <m:r>
              <m:t>1</m:t>
            </m:r>
            <m:r>
              <m:rPr>
                <m:sty m:val="p"/>
              </m:rPr>
              <m:t>/</m:t>
            </m:r>
            <m:r>
              <m:t>N</m:t>
            </m:r>
            <m:r>
              <m:rPr>
                <m:sty m:val="p"/>
              </m:rPr>
              <m:t>)</m:t>
            </m:r>
          </m:den>
        </m:f>
      </m:oMath>
      <w:r>
        <w:t xml:space="preserve"> </w:t>
      </w:r>
      <w:r>
        <w:t xml:space="preserve">garante que</w:t>
      </w:r>
      <w:r>
        <w:t xml:space="preserve"> </w:t>
      </w:r>
      <m:oMath>
        <m:r>
          <m:t>I</m:t>
        </m:r>
        <m:r>
          <m:t>R</m:t>
        </m:r>
        <m:r>
          <m:t>D</m:t>
        </m:r>
        <m:r>
          <m:rPr>
            <m:sty m:val="p"/>
          </m:rPr>
          <m:t>∈</m:t>
        </m:r>
        <m:r>
          <m:rPr>
            <m:sty m:val="p"/>
          </m:rPr>
          <m:t>[</m:t>
        </m:r>
        <m:r>
          <m:t>0</m:t>
        </m:r>
        <m:r>
          <m:rPr>
            <m:sty m:val="p"/>
          </m:rPr>
          <m:t>,</m:t>
        </m:r>
        <m:r>
          <m:t>1</m:t>
        </m:r>
        <m:r>
          <m:rPr>
            <m:sty m:val="p"/>
          </m:rPr>
          <m:t>]</m:t>
        </m:r>
      </m:oMath>
      <w:r>
        <w:t xml:space="preserve">.</w:t>
      </w:r>
      <w:r>
        <w:t xml:space="preserve"> </w:t>
      </w:r>
      <w:r>
        <w:t xml:space="preserve">Assim, o valor do índice quantifica a proximidade da amostra em relação ao cenário ideal de representatividade, em que</w:t>
      </w:r>
      <w:r>
        <w:t xml:space="preserve"> </w:t>
      </w:r>
      <m:oMath>
        <m:r>
          <m:t>I</m:t>
        </m:r>
        <m:r>
          <m:t>R</m:t>
        </m:r>
        <m:r>
          <m:t>D</m:t>
        </m:r>
        <m:r>
          <m:rPr>
            <m:sty m:val="p"/>
          </m:rPr>
          <m:t>=</m:t>
        </m:r>
        <m:r>
          <m:t>1</m:t>
        </m:r>
      </m:oMath>
      <w:r>
        <w:t xml:space="preserve"> </w:t>
      </w:r>
      <w:r>
        <w:t xml:space="preserve">indica perfeita correspondência com a população, e valores próximos a</w:t>
      </w:r>
      <w:r>
        <w:t xml:space="preserve"> </w:t>
      </w:r>
      <m:oMath>
        <m:r>
          <m:t>0</m:t>
        </m:r>
      </m:oMath>
      <w:r>
        <w:t xml:space="preserve"> </w:t>
      </w:r>
      <w:r>
        <w:t xml:space="preserve">refletem forte desequilíbrio.</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5">
    <w:p>
      <w:pPr>
        <w:pStyle w:val="FootnoteText"/>
      </w:pPr>
      <w:r>
        <w:rPr>
          <w:rStyle w:val="FootnoteReference"/>
        </w:rPr>
        <w:footnoteRef/>
      </w:r>
      <w:r>
        <w:t xml:space="preserve"> </w:t>
      </w:r>
      <w:r>
        <w:t xml:space="preserve">O fator</w:t>
      </w:r>
      <w:r>
        <w:t xml:space="preserve"> </w:t>
      </w:r>
      <m:oMath>
        <m:f>
          <m:fPr>
            <m:type m:val="lin"/>
          </m:fPr>
          <m:num>
            <m:r>
              <m:t>1</m:t>
            </m:r>
          </m:num>
          <m:den>
            <m:r>
              <m:t>2</m:t>
            </m:r>
            <m:r>
              <m:rPr>
                <m:sty m:val="p"/>
              </m:rPr>
              <m:t>(</m:t>
            </m:r>
            <m:r>
              <m:t>N</m:t>
            </m:r>
            <m:r>
              <m:rPr>
                <m:sty m:val="p"/>
              </m:rPr>
              <m:t>−</m:t>
            </m:r>
            <m:r>
              <m:t>1</m:t>
            </m:r>
            <m:r>
              <m:rPr>
                <m:sty m:val="p"/>
              </m:rPr>
              <m:t>)</m:t>
            </m:r>
          </m:den>
        </m:f>
      </m:oMath>
      <w:r>
        <w:t xml:space="preserve"> </w:t>
      </w:r>
      <w:r>
        <w:t xml:space="preserve">serve para normalizar o valor do índice, deixando-o no intervalo</w:t>
      </w:r>
      <w:r>
        <w:t xml:space="preserve"> </w:t>
      </w:r>
      <m:oMath>
        <m:r>
          <m:rPr>
            <m:sty m:val="p"/>
          </m:rPr>
          <m:t>[</m:t>
        </m:r>
        <m:r>
          <m:t>0</m:t>
        </m:r>
        <m:r>
          <m:rPr>
            <m:sty m:val="p"/>
          </m:rPr>
          <m:t>,</m:t>
        </m:r>
        <m:r>
          <m:t>1</m:t>
        </m:r>
        <m:r>
          <m:rPr>
            <m:sty m:val="p"/>
          </m:rPr>
          <m:t>]</m:t>
        </m:r>
      </m:oMath>
      <w:r>
        <w:t xml:space="preserve">, obedecida a restrição.</w:t>
      </w:r>
      <w:r>
        <w:t xml:space="preserve"> </w:t>
      </w:r>
      <w:r>
        <w:t xml:space="preserve">Esse fator é encontrado ao considerarmos o caso limite em que a distância média em relação à neutralidade (</w:t>
      </w:r>
      <m:oMath>
        <m:r>
          <m:t>1</m:t>
        </m:r>
      </m:oMath>
      <w:r>
        <w:t xml:space="preserve">) seria máxima: quando um indivíduo possui</w:t>
      </w:r>
      <w:r>
        <w:t xml:space="preserve"> </w:t>
      </w:r>
      <m:oMath>
        <m:r>
          <m:t>w</m:t>
        </m:r>
        <m:r>
          <m:rPr>
            <m:sty m:val="p"/>
          </m:rPr>
          <m:t>=</m:t>
        </m:r>
        <m:r>
          <m:t>N</m:t>
        </m:r>
      </m:oMath>
      <w:r>
        <w:t xml:space="preserve">, e os demais</w:t>
      </w:r>
      <w:r>
        <w:t xml:space="preserve"> </w:t>
      </w:r>
      <m:oMath>
        <m:r>
          <m:t>w</m:t>
        </m:r>
        <m:r>
          <m:rPr>
            <m:sty m:val="p"/>
          </m:rPr>
          <m:t>=</m:t>
        </m:r>
        <m:r>
          <m:t>0</m:t>
        </m:r>
      </m:oMath>
      <w:r>
        <w:t xml:space="preserve">.</w:t>
      </w:r>
      <w:r>
        <w:t xml:space="preserve"> </w:t>
      </w:r>
      <w:r>
        <w:t xml:space="preserve">Nesse caso, teríamos a distância média da neutralidade igual a</w:t>
      </w:r>
      <w:r>
        <w:t xml:space="preserve"> </w:t>
      </w:r>
      <m:oMath>
        <m:f>
          <m:fPr>
            <m:type m:val="bar"/>
          </m:fPr>
          <m:num>
            <m:r>
              <m:t>1</m:t>
            </m:r>
          </m:num>
          <m:den>
            <m:r>
              <m:t>N</m:t>
            </m:r>
          </m:den>
        </m:f>
        <m:nary>
          <m:naryPr>
            <m:chr m:val="∑"/>
            <m:limLoc m:val="undOvr"/>
            <m:subHide m:val="off"/>
            <m:supHide m:val="on"/>
          </m:naryPr>
          <m:sub>
            <m:r>
              <m:t>i</m:t>
            </m:r>
          </m:sub>
          <m:sup>
            <m:r>
              <m:t>​</m:t>
            </m:r>
          </m:sup>
          <m:e>
            <m:r>
              <m:rPr>
                <m:sty m:val="p"/>
              </m:rPr>
              <m:t>|</m:t>
            </m:r>
          </m:e>
        </m:nary>
        <m:sSub>
          <m:e>
            <m:r>
              <m:t>w</m:t>
            </m:r>
          </m:e>
          <m:sub>
            <m:r>
              <m:t>i</m:t>
            </m:r>
          </m:sub>
        </m:sSub>
        <m:r>
          <m:rPr>
            <m:sty m:val="p"/>
          </m:rPr>
          <m:t>−</m:t>
        </m:r>
        <m:r>
          <m:t>1</m:t>
        </m:r>
        <m:r>
          <m:rPr>
            <m:sty m:val="p"/>
          </m:rPr>
          <m:t>|</m:t>
        </m:r>
        <m:r>
          <m:rPr>
            <m:sty m:val="p"/>
          </m:rPr>
          <m:t>=</m:t>
        </m:r>
        <m:r>
          <m:t>2</m:t>
        </m:r>
        <m:d>
          <m:dPr>
            <m:begChr m:val="("/>
            <m:sepChr m:val=""/>
            <m:endChr m:val=")"/>
            <m:grow/>
          </m:dPr>
          <m:e>
            <m:r>
              <m:t>1</m:t>
            </m:r>
            <m:r>
              <m:rPr>
                <m:sty m:val="p"/>
              </m:rPr>
              <m:t>−</m:t>
            </m:r>
            <m:f>
              <m:fPr>
                <m:type m:val="lin"/>
              </m:fPr>
              <m:num>
                <m:r>
                  <m:t>1</m:t>
                </m:r>
              </m:num>
              <m:den>
                <m:r>
                  <m:t>N</m:t>
                </m:r>
              </m:den>
            </m:f>
          </m:e>
        </m:d>
        <m:r>
          <m:rPr>
            <m:sty m:val="p"/>
          </m:rPr>
          <m:t>=</m:t>
        </m:r>
        <m:sSub>
          <m:e>
            <m:r>
              <m:t>I</m:t>
            </m:r>
          </m:e>
          <m:sub>
            <m:r>
              <m:rPr>
                <m:sty m:val="p"/>
              </m:rPr>
              <m:t>max</m:t>
            </m:r>
          </m:sub>
        </m:sSub>
      </m:oMath>
      <w:r>
        <w:t xml:space="preserve">.</w:t>
      </w:r>
      <w:r>
        <w:t xml:space="preserve"> </w:t>
      </w:r>
      <w:r>
        <w:t xml:space="preserve">Assim, podemos obter o quão próximo está a amostra desse máximo teórico realizando</w:t>
      </w:r>
      <w:r>
        <w:t xml:space="preserve"> </w:t>
      </w:r>
      <m:oMath>
        <m:r>
          <m:t>I</m:t>
        </m:r>
        <m:r>
          <m:rPr>
            <m:sty m:val="p"/>
          </m:rPr>
          <m:t>/</m:t>
        </m:r>
        <m:sSub>
          <m:e>
            <m:r>
              <m:t>I</m:t>
            </m:r>
          </m:e>
          <m:sub>
            <m:r>
              <m:rPr>
                <m:sty m:val="p"/>
              </m:rPr>
              <m:t>max</m:t>
            </m:r>
          </m:sub>
        </m:sSub>
      </m:oMath>
      <w:r>
        <w:t xml:space="preserve">, o que fornece o fator de normalização. Para uma demonstração mais detalhada, consulte o apêndice</w:t>
      </w:r>
      <w:r>
        <w:t xml:space="preserve"> </w:t>
      </w:r>
      <w:hyperlink w:anchor="appendix:ird">
        <w:r>
          <w:rPr>
            <w:rStyle w:val="Hyperlink"/>
          </w:rPr>
          <w:t xml:space="preserve">6</w:t>
        </w:r>
      </w:hyperlink>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7" Target="media/rId17.png" /><Relationship Type="http://schemas.openxmlformats.org/officeDocument/2006/relationships/image" Id="rId32" Target="media/rId32.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Documentação das Dimensões do Índice de Qualidade Parlamentar</dc:title>
  <dc:creator/>
  <cp:keywords/>
  <dcterms:created xsi:type="dcterms:W3CDTF">2025-08-28T21:18:44Z</dcterms:created>
  <dcterms:modified xsi:type="dcterms:W3CDTF">2025-08-28T21:18:44Z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