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MIT Collaboration Report — Overnight Deep QA Run</w:t>
      </w:r>
    </w:p>
    <w:p>
      <w:pPr>
        <w:spacing w:after="120"/>
      </w:pPr>
      <w:r>
        <w:rPr>
          <w:sz w:val="21"/>
          <w:szCs w:val="21"/>
        </w:rPr>
        <w:t xml:space="preserve">AAD2024-2904 · MIT · Run date: July 3–4, 2026. This supplements the July 3 QA and Data Validation Report. Scope: exhaustive per-anchor data recomputation, a 37-test functional suite, and layout/token checks across all 8 pages, following the evening's changes (report-format headers, split unit-type columns, Medical gating, year multi-select, clinical removal, Key page).</w:t>
      </w:r>
    </w:p>
    <w:p>
      <w:pPr>
        <w:pStyle w:val="Heading1"/>
      </w:pPr>
      <w:r>
        <w:t xml:space="preserve">1. Fixes made during this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Network legend is now level-aware: rank colors at Person/Anchor levels, college/school colors at Department and College / School levels (previously the rank legend showed at every level — the confusion you screenshotted).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Counts (Simple) blank-numbers screenshot: diagnosed as the OneDrive sync race serving a mid-write file to the browser; the file self-healed when sync completed and passes all tests. Hard refresh shows it correctly. No code change needed — but this is the third sync-race incident; moving the project out of OneDrive remains strongly recommended.</w:t>
      </w:r>
    </w:p>
    <w:p>
      <w:pPr>
        <w:pStyle w:val="Heading1"/>
      </w:pPr>
      <w:r>
        <w:t xml:space="preserve">2. Deep data validation — every anchor, every page</w:t>
      </w:r>
    </w:p>
    <w:p>
      <w:pPr>
        <w:spacing w:after="120"/>
      </w:pPr>
      <w:r>
        <w:rPr>
          <w:sz w:val="21"/>
          <w:szCs w:val="21"/>
        </w:rPr>
        <w:t xml:space="preserve">Every number was recomputed from scratch in Python from data/details/*.json (SAS pipeline) and compared to each page's embedded data. 74 anchor units × all partner rows, plus full matrices.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020"/>
        <w:gridCol w:w="2990"/>
      </w:tblGrid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446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446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446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Matrix — all unit×unit cells, Department + Program modes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723 / 723 cells exact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independent reimplementation, not the build script</w:t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Matrix — college×college cells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 / 27 exact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mode-correct recompute</w:t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Chord — College / School overview matrix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 / 27 exact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Chord anchored data ≡ Counts (Partners) data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Identical (order-insensitive), all 4 caps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 with tied values sort differently between the two pages — cosmetic only</w:t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Counts (Partners) — within-unit works, per anchor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72 / 74 exact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off-by-one: Health Sciences and Technology, IMES (phantom-work variance, below)</w:t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Counts (Partners) — every partner-unit row, per anchor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 / 74 anchors fully exact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residual diffs ≤2 works, all on HST/IMES-linked units; partner lists follow the portal's same-unit-kind convention (validated: Physics partner rows sum to the oracle 231)</w:t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Counts (Partners) — every external-institution row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8,175 rows exact; 535 rows differ by small amounts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direction: page lower in 494 (SAS holds a few extra works); universe variance</w:t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Network — pair-for-pair edge weights, per anchor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58 / 74 anchors pair-exact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anchors have ≤6 extra pairs each; every checked extra pair traces to a work present in the prototype dataset but absent from all SAS files (verified example: an ATS conference abstract)</w:t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Counts (Simple) — department rows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 exact / 6 within ±3 / 1 larger (IMES)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universe variance again</w:t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Counts (Simple) — college + person rows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1,088 / 1,270 persons exact; colleges diverge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non-exact rows are multi-affiliated people: the page uses the prototype's person-centric any-overlap classification; an anchor-relative recompute necessarily differs. Documented convention, flagged as open item below</w:t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Insights — degree centrality, top 80 scholars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78 / 80 exact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2 misses are the HST phantom-works people (Celi, Langer)</w:t>
            </w:r>
          </w:p>
        </w:tc>
      </w:tr>
      <w:tr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Insights — overview totals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1,270 scholars ✓; 16,738 works vs SAS 16,747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known 9-work cross-extract variance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Phantom-work variance, pinned down: the prototype dataset contains a small number of works (concentrated around Health Sciences and Technology / IMES, e.g. conference abstracts) that appear in zero SAS extract files, and the SAS extract contains ~9 net additional works. This single root cause explains every off-by-small mismatch above. Resolution requires deciding which extract is authoritative — flagged since the first QA report.</w:t>
      </w:r>
    </w:p>
    <w:p>
      <w:pPr>
        <w:pStyle w:val="Heading1"/>
      </w:pPr>
      <w:r>
        <w:t xml:space="preserve">3. Functional test suite — 37 tests, all passing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8 pages load with zero JavaScript errors and render content (rows/arcs/cells/cards).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Counts (Partners) shows the portal oracle numbers (948 / 231); Counts (Simple) cards and Physics row verified (16,738 / 4,923 / 948).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Network: deep-link (?pid&amp;anchor&amp;scope) selects the person and opens their panel; default scope is All; level buttons ordered College / School → Department → Anchor → Person; legend switches with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Details: headers exactly match the reviewed report format; CSV row count equals the on-screen total (7,232 = 7,232) and field counts align; unique-works CSV rows equal distinct works (1,993 = 1,993); year multi-select lists only data years (14), filters, and Clear Filters restores baseline; zero 'clinical' in authored UI text (Clinical Trial work type and two AA discipline names are data values, intentionally retained).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Key page: all 17 sidebar links resolve; 8-page nav; AAD sentence and unit-type text as requested.</w:t>
      </w:r>
    </w:p>
    <w:p>
      <w:pPr>
        <w:pStyle w:val="Heading1"/>
      </w:pPr>
      <w:r>
        <w:t xml:space="preserve">4. Look and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page: AcA Blue #254467 (37,68,103) header, Open Sans/Crimson Text fonts, identical 8-link nav with Key first, consistent footers (institutionid removed).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headless browser is available in this environment, so no pixel-level screenshots were possible. Recommended 5-minute human pass: matrix heat colors, chord ribbon proportions, Details column density in All mode, Key page sidebar behavior.</w:t>
      </w:r>
    </w:p>
    <w:p>
      <w:pPr>
        <w:pStyle w:val="Heading1"/>
      </w:pPr>
      <w:r>
        <w:t xml:space="preserve">5. Open items (priority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Counts (Simple) college and person tabs, and the person view on Counts (Partners), still run on the prototype's classification. Either rebuild them from the SAS extract (recommended; the Details/matrix/chord-global rebuilds show the pattern) or add a Key note stating the person-centric convention.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Decide the authoritative work universe (SAS 16,747 vs prototype 16,738) and rebuild the remaining prototype-fed pages (network, counts, insights embedded data) from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Move the project folder out of OneDrive or pause sync during work — three separate truncation/staleness incidents now 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Insights betweenness values remain unverified (degree now spot-validated).</w:t>
      </w:r>
    </w:p>
    <w:sectPr>
      <w:footerReference w:type="default" r:id="rId7"/>
      <w:pgSz w:w="12240" w:h="15840" w:orient="portrait"/>
      <w:pgMar w:top="1080" w:right="940" w:bottom="108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AAD2024-2904 · MIT Collaboration Report · Overnight QA · July 2026</w:t>
    </w:r>
    <w:r>
      <w:rPr>
        <w:color w:val="88888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60"/>
      <w:outlineLvl w:val="0"/>
    </w:pPr>
    <w:rPr>
      <w:rFonts w:ascii="Arial" w:cs="Arial" w:eastAsia="Arial" w:hAnsi="Arial"/>
      <w:b/>
      <w:bCs/>
      <w:color w:val="254467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2026-07-04T02:52:23.825Z</dcterms:created>
  <dcterms:modified xsi:type="dcterms:W3CDTF">2026-07-04T02:52:23.833Z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