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D333" w14:textId="11D0696D" w:rsidR="00274AC8" w:rsidRPr="00A271DC" w:rsidRDefault="001D0ACD" w:rsidP="00D714DC">
      <w:pPr>
        <w:jc w:val="center"/>
        <w:rPr>
          <w:b/>
          <w:bCs/>
          <w:sz w:val="28"/>
          <w:szCs w:val="28"/>
        </w:rPr>
      </w:pPr>
      <w:r>
        <w:rPr>
          <w:b/>
          <w:bCs/>
          <w:sz w:val="28"/>
          <w:szCs w:val="28"/>
        </w:rPr>
        <w:t xml:space="preserve">Template and </w:t>
      </w:r>
      <w:r w:rsidR="00D714DC">
        <w:rPr>
          <w:b/>
          <w:bCs/>
          <w:sz w:val="28"/>
          <w:szCs w:val="28"/>
        </w:rPr>
        <w:t xml:space="preserve">Detailed Paper </w:t>
      </w:r>
      <w:r w:rsidR="00930C39">
        <w:rPr>
          <w:b/>
          <w:bCs/>
          <w:sz w:val="28"/>
          <w:szCs w:val="28"/>
        </w:rPr>
        <w:t>Guidelines</w:t>
      </w:r>
    </w:p>
    <w:p w14:paraId="78FFE6C5" w14:textId="1A4BF1AE" w:rsidR="00A271DC" w:rsidRDefault="00A271DC">
      <w:pPr>
        <w:jc w:val="both"/>
        <w:rPr>
          <w:sz w:val="20"/>
          <w:szCs w:val="20"/>
        </w:rPr>
      </w:pPr>
    </w:p>
    <w:p w14:paraId="41CEFA59" w14:textId="77777777" w:rsidR="00E968E0" w:rsidRDefault="00E968E0" w:rsidP="00E968E0">
      <w:pPr>
        <w:jc w:val="center"/>
        <w:rPr>
          <w:b/>
        </w:rPr>
      </w:pPr>
      <w:r>
        <w:rPr>
          <w:b/>
        </w:rPr>
        <w:t>Abstract ID: 1234</w:t>
      </w:r>
    </w:p>
    <w:p w14:paraId="5D7ED70C" w14:textId="77777777" w:rsidR="00E968E0" w:rsidRDefault="00E968E0" w:rsidP="00E968E0">
      <w:pPr>
        <w:jc w:val="center"/>
      </w:pPr>
    </w:p>
    <w:p w14:paraId="660CD893" w14:textId="77777777" w:rsidR="00E968E0" w:rsidRPr="00786D1E" w:rsidRDefault="00E968E0" w:rsidP="00E968E0">
      <w:pPr>
        <w:jc w:val="center"/>
      </w:pPr>
      <w:r w:rsidRPr="00786D1E">
        <w:rPr>
          <w:b/>
        </w:rPr>
        <w:t>Abstract</w:t>
      </w:r>
    </w:p>
    <w:p w14:paraId="15DD6ADA" w14:textId="77777777" w:rsidR="00E968E0" w:rsidRPr="00786D1E" w:rsidRDefault="00E968E0" w:rsidP="00E968E0">
      <w:pPr>
        <w:jc w:val="both"/>
        <w:rPr>
          <w:sz w:val="20"/>
          <w:szCs w:val="20"/>
        </w:rPr>
      </w:pPr>
    </w:p>
    <w:p w14:paraId="6A58F2CD" w14:textId="77777777" w:rsidR="00E968E0" w:rsidRPr="00786D1E" w:rsidRDefault="00E968E0" w:rsidP="00E968E0">
      <w:pPr>
        <w:jc w:val="both"/>
        <w:rPr>
          <w:sz w:val="20"/>
          <w:szCs w:val="20"/>
        </w:rPr>
      </w:pPr>
      <w:r w:rsidRPr="00786D1E">
        <w:rPr>
          <w:sz w:val="20"/>
          <w:szCs w:val="20"/>
        </w:rPr>
        <w:t>For the abstract section heading, use 12-point, Times New Roman, bold, centered font, followed by a single blank line.  Then include the abstract for your paper (</w:t>
      </w:r>
      <w:r>
        <w:rPr>
          <w:sz w:val="20"/>
          <w:szCs w:val="20"/>
        </w:rPr>
        <w:t xml:space="preserve">max </w:t>
      </w:r>
      <w:r w:rsidRPr="00786D1E">
        <w:rPr>
          <w:sz w:val="20"/>
          <w:szCs w:val="20"/>
        </w:rPr>
        <w:t xml:space="preserve">250 words), using 10-point, Times New Roman, full-justified font.  Include a single blank line after the </w:t>
      </w:r>
      <w:r>
        <w:rPr>
          <w:sz w:val="20"/>
          <w:szCs w:val="20"/>
        </w:rPr>
        <w:t>abstract.</w:t>
      </w:r>
    </w:p>
    <w:p w14:paraId="716798DB" w14:textId="77777777" w:rsidR="00E968E0" w:rsidRPr="00786D1E" w:rsidRDefault="00E968E0" w:rsidP="00E968E0">
      <w:pPr>
        <w:jc w:val="both"/>
        <w:rPr>
          <w:sz w:val="20"/>
          <w:szCs w:val="20"/>
        </w:rPr>
      </w:pPr>
    </w:p>
    <w:p w14:paraId="2E600976" w14:textId="77777777" w:rsidR="00E968E0" w:rsidRPr="00786D1E" w:rsidRDefault="00E968E0" w:rsidP="00E968E0">
      <w:pPr>
        <w:jc w:val="both"/>
        <w:rPr>
          <w:sz w:val="20"/>
          <w:szCs w:val="20"/>
        </w:rPr>
      </w:pPr>
      <w:r w:rsidRPr="00786D1E">
        <w:rPr>
          <w:b/>
        </w:rPr>
        <w:t xml:space="preserve">Keywords </w:t>
      </w:r>
      <w:r w:rsidRPr="00786D1E">
        <w:t>(not numbered, 12 point, Times New Roman, bold, left justified)</w:t>
      </w:r>
    </w:p>
    <w:p w14:paraId="3557D01B" w14:textId="18223E41" w:rsidR="00E968E0" w:rsidRPr="00786D1E" w:rsidRDefault="00A04220" w:rsidP="00E968E0">
      <w:pPr>
        <w:jc w:val="both"/>
        <w:rPr>
          <w:sz w:val="20"/>
          <w:szCs w:val="20"/>
        </w:rPr>
      </w:pPr>
      <w:r w:rsidRPr="00A04220">
        <w:rPr>
          <w:sz w:val="20"/>
          <w:szCs w:val="20"/>
        </w:rPr>
        <w:t>Industrial engineering, operations research, stochastic processes (Include three to five keywords related to the main topic. This section does not have a section number.)</w:t>
      </w:r>
    </w:p>
    <w:p w14:paraId="225C27F7" w14:textId="77777777" w:rsidR="00564877" w:rsidRDefault="00564877">
      <w:pPr>
        <w:jc w:val="both"/>
        <w:rPr>
          <w:sz w:val="20"/>
          <w:szCs w:val="20"/>
        </w:rPr>
      </w:pPr>
    </w:p>
    <w:p w14:paraId="062A8C6C" w14:textId="77777777" w:rsidR="00274AC8" w:rsidRDefault="00127FD9" w:rsidP="00B71BF1">
      <w:pPr>
        <w:pStyle w:val="Heading2"/>
        <w:numPr>
          <w:ilvl w:val="0"/>
          <w:numId w:val="5"/>
        </w:numPr>
        <w:ind w:left="360"/>
      </w:pPr>
      <w:r>
        <w:t>Page Layout</w:t>
      </w:r>
    </w:p>
    <w:p w14:paraId="2959CF1F" w14:textId="578E19C2" w:rsidR="00274AC8" w:rsidRDefault="00127FD9">
      <w:pPr>
        <w:jc w:val="both"/>
        <w:rPr>
          <w:sz w:val="20"/>
          <w:szCs w:val="20"/>
        </w:rPr>
      </w:pPr>
      <w:r>
        <w:rPr>
          <w:sz w:val="20"/>
          <w:szCs w:val="20"/>
        </w:rPr>
        <w:t xml:space="preserve">All papers </w:t>
      </w:r>
      <w:r w:rsidR="001E61C5">
        <w:rPr>
          <w:sz w:val="20"/>
          <w:szCs w:val="20"/>
        </w:rPr>
        <w:t xml:space="preserve">are limited to </w:t>
      </w:r>
      <w:r>
        <w:rPr>
          <w:b/>
          <w:sz w:val="20"/>
          <w:szCs w:val="20"/>
        </w:rPr>
        <w:t xml:space="preserve">6 pages </w:t>
      </w:r>
      <w:r w:rsidRPr="00D80A9F">
        <w:rPr>
          <w:sz w:val="20"/>
          <w:szCs w:val="20"/>
        </w:rPr>
        <w:t>(</w:t>
      </w:r>
      <w:r w:rsidRPr="00D80A9F">
        <w:rPr>
          <w:i/>
          <w:sz w:val="20"/>
          <w:szCs w:val="20"/>
        </w:rPr>
        <w:t>including title and author data, references, and figures and tables</w:t>
      </w:r>
      <w:r w:rsidRPr="00D80A9F">
        <w:rPr>
          <w:sz w:val="20"/>
          <w:szCs w:val="20"/>
        </w:rPr>
        <w:t>)</w:t>
      </w:r>
      <w:r>
        <w:rPr>
          <w:sz w:val="20"/>
          <w:szCs w:val="20"/>
        </w:rPr>
        <w:t xml:space="preserve"> and should follow the following format and layout: </w:t>
      </w:r>
    </w:p>
    <w:p w14:paraId="756BA177" w14:textId="5A07D3B1" w:rsidR="00274AC8" w:rsidRDefault="00127FD9">
      <w:pPr>
        <w:numPr>
          <w:ilvl w:val="0"/>
          <w:numId w:val="1"/>
        </w:numPr>
        <w:ind w:left="630" w:hanging="270"/>
        <w:jc w:val="both"/>
        <w:rPr>
          <w:sz w:val="20"/>
          <w:szCs w:val="20"/>
        </w:rPr>
      </w:pPr>
      <w:r>
        <w:rPr>
          <w:sz w:val="20"/>
          <w:szCs w:val="20"/>
        </w:rPr>
        <w:t>Page Size:</w:t>
      </w:r>
      <w:r w:rsidR="00D80A9F">
        <w:rPr>
          <w:sz w:val="20"/>
          <w:szCs w:val="20"/>
        </w:rPr>
        <w:t xml:space="preserve"> </w:t>
      </w:r>
      <w:r>
        <w:rPr>
          <w:sz w:val="20"/>
          <w:szCs w:val="20"/>
        </w:rPr>
        <w:t xml:space="preserve"> 8.5" </w:t>
      </w:r>
      <w:r>
        <w:rPr>
          <w:rFonts w:ascii="Arial" w:eastAsia="Arial" w:hAnsi="Arial" w:cs="Arial"/>
          <w:sz w:val="20"/>
          <w:szCs w:val="20"/>
        </w:rPr>
        <w:t>x</w:t>
      </w:r>
      <w:r>
        <w:rPr>
          <w:sz w:val="20"/>
          <w:szCs w:val="20"/>
        </w:rPr>
        <w:t xml:space="preserve"> 11" (Letter)</w:t>
      </w:r>
      <w:r w:rsidR="00E81A69">
        <w:rPr>
          <w:sz w:val="20"/>
          <w:szCs w:val="20"/>
        </w:rPr>
        <w:t>.</w:t>
      </w:r>
    </w:p>
    <w:p w14:paraId="54915FFC" w14:textId="4BB34C9D" w:rsidR="00197CE7" w:rsidRDefault="00127FD9">
      <w:pPr>
        <w:numPr>
          <w:ilvl w:val="0"/>
          <w:numId w:val="1"/>
        </w:numPr>
        <w:ind w:left="630" w:hanging="270"/>
        <w:jc w:val="both"/>
        <w:rPr>
          <w:sz w:val="20"/>
          <w:szCs w:val="20"/>
        </w:rPr>
      </w:pPr>
      <w:r>
        <w:rPr>
          <w:sz w:val="20"/>
          <w:szCs w:val="20"/>
        </w:rPr>
        <w:t xml:space="preserve">Top and bottom margins: </w:t>
      </w:r>
      <w:r w:rsidR="00D80A9F">
        <w:rPr>
          <w:sz w:val="20"/>
          <w:szCs w:val="20"/>
        </w:rPr>
        <w:t xml:space="preserve"> </w:t>
      </w:r>
      <w:r>
        <w:rPr>
          <w:sz w:val="20"/>
          <w:szCs w:val="20"/>
        </w:rPr>
        <w:t>1.00</w:t>
      </w:r>
      <w:r w:rsidR="00197CE7">
        <w:rPr>
          <w:sz w:val="20"/>
          <w:szCs w:val="20"/>
        </w:rPr>
        <w:t>"</w:t>
      </w:r>
    </w:p>
    <w:p w14:paraId="3D1E3DD4" w14:textId="5EF58127" w:rsidR="00274AC8" w:rsidRDefault="00197CE7">
      <w:pPr>
        <w:numPr>
          <w:ilvl w:val="0"/>
          <w:numId w:val="1"/>
        </w:numPr>
        <w:ind w:left="630" w:hanging="270"/>
        <w:jc w:val="both"/>
        <w:rPr>
          <w:sz w:val="20"/>
          <w:szCs w:val="20"/>
        </w:rPr>
      </w:pPr>
      <w:r>
        <w:rPr>
          <w:sz w:val="20"/>
          <w:szCs w:val="20"/>
        </w:rPr>
        <w:t>L</w:t>
      </w:r>
      <w:r w:rsidR="00127FD9">
        <w:rPr>
          <w:sz w:val="20"/>
          <w:szCs w:val="20"/>
        </w:rPr>
        <w:t xml:space="preserve">eft and right margins: </w:t>
      </w:r>
      <w:r w:rsidR="00D80A9F">
        <w:rPr>
          <w:sz w:val="20"/>
          <w:szCs w:val="20"/>
        </w:rPr>
        <w:t xml:space="preserve"> </w:t>
      </w:r>
      <w:r w:rsidR="00127FD9">
        <w:rPr>
          <w:sz w:val="20"/>
          <w:szCs w:val="20"/>
        </w:rPr>
        <w:t>1.00"</w:t>
      </w:r>
    </w:p>
    <w:p w14:paraId="4C36C18F" w14:textId="406CA672" w:rsidR="00274AC8" w:rsidRDefault="00127FD9">
      <w:pPr>
        <w:numPr>
          <w:ilvl w:val="0"/>
          <w:numId w:val="1"/>
        </w:numPr>
        <w:ind w:left="630" w:hanging="270"/>
        <w:jc w:val="both"/>
        <w:rPr>
          <w:sz w:val="20"/>
          <w:szCs w:val="20"/>
        </w:rPr>
      </w:pPr>
      <w:r>
        <w:rPr>
          <w:sz w:val="20"/>
          <w:szCs w:val="20"/>
        </w:rPr>
        <w:t xml:space="preserve">First page header: </w:t>
      </w:r>
      <w:r w:rsidR="00E81A69">
        <w:rPr>
          <w:sz w:val="20"/>
          <w:szCs w:val="20"/>
        </w:rPr>
        <w:t>C</w:t>
      </w:r>
      <w:r>
        <w:rPr>
          <w:sz w:val="20"/>
          <w:szCs w:val="20"/>
        </w:rPr>
        <w:t>onference proceedings editors’ information (follow this template)</w:t>
      </w:r>
    </w:p>
    <w:p w14:paraId="6BAC7917" w14:textId="06F51526" w:rsidR="00274AC8" w:rsidRPr="0038472E" w:rsidRDefault="00127FD9">
      <w:pPr>
        <w:numPr>
          <w:ilvl w:val="0"/>
          <w:numId w:val="1"/>
        </w:numPr>
        <w:ind w:left="630" w:hanging="270"/>
        <w:jc w:val="both"/>
        <w:rPr>
          <w:sz w:val="20"/>
          <w:szCs w:val="20"/>
        </w:rPr>
      </w:pPr>
      <w:r>
        <w:rPr>
          <w:sz w:val="20"/>
          <w:szCs w:val="20"/>
        </w:rPr>
        <w:t>Header (from pages two to six):</w:t>
      </w:r>
      <w:r w:rsidR="00D80A9F">
        <w:rPr>
          <w:sz w:val="20"/>
          <w:szCs w:val="20"/>
        </w:rPr>
        <w:t xml:space="preserve"> </w:t>
      </w:r>
      <w:r>
        <w:rPr>
          <w:sz w:val="20"/>
          <w:szCs w:val="20"/>
        </w:rPr>
        <w:t xml:space="preserve"> </w:t>
      </w:r>
      <w:r w:rsidR="001E61C5">
        <w:rPr>
          <w:sz w:val="20"/>
          <w:szCs w:val="20"/>
        </w:rPr>
        <w:t>No header for initial submission.</w:t>
      </w:r>
      <w:r w:rsidR="00A04220">
        <w:rPr>
          <w:sz w:val="20"/>
          <w:szCs w:val="20"/>
        </w:rPr>
        <w:t xml:space="preserve"> </w:t>
      </w:r>
      <w:r w:rsidR="001E61C5" w:rsidRPr="001E61C5">
        <w:rPr>
          <w:sz w:val="20"/>
          <w:szCs w:val="20"/>
        </w:rPr>
        <w:t>The l</w:t>
      </w:r>
      <w:r w:rsidRPr="001E61C5">
        <w:rPr>
          <w:sz w:val="20"/>
          <w:szCs w:val="20"/>
        </w:rPr>
        <w:t xml:space="preserve">ast names of </w:t>
      </w:r>
      <w:r w:rsidR="001E61C5" w:rsidRPr="001E61C5">
        <w:rPr>
          <w:sz w:val="20"/>
          <w:szCs w:val="20"/>
        </w:rPr>
        <w:t xml:space="preserve">the </w:t>
      </w:r>
      <w:r w:rsidRPr="001E61C5">
        <w:rPr>
          <w:sz w:val="20"/>
          <w:szCs w:val="20"/>
        </w:rPr>
        <w:t>authors</w:t>
      </w:r>
      <w:r w:rsidR="001E61C5" w:rsidRPr="001E61C5">
        <w:rPr>
          <w:sz w:val="20"/>
          <w:szCs w:val="20"/>
        </w:rPr>
        <w:t xml:space="preserve"> will be included </w:t>
      </w:r>
      <w:r w:rsidR="00197CE7">
        <w:rPr>
          <w:sz w:val="20"/>
          <w:szCs w:val="20"/>
        </w:rPr>
        <w:t xml:space="preserve">in the header </w:t>
      </w:r>
      <w:r w:rsidR="001E61C5" w:rsidRPr="0038472E">
        <w:rPr>
          <w:sz w:val="20"/>
          <w:szCs w:val="20"/>
        </w:rPr>
        <w:t xml:space="preserve">for </w:t>
      </w:r>
      <w:r w:rsidR="001E61C5" w:rsidRPr="005733F1">
        <w:rPr>
          <w:sz w:val="20"/>
          <w:szCs w:val="20"/>
        </w:rPr>
        <w:t>accepted manu</w:t>
      </w:r>
      <w:r w:rsidRPr="005733F1">
        <w:rPr>
          <w:sz w:val="20"/>
          <w:szCs w:val="20"/>
        </w:rPr>
        <w:t>scripts during final submission.</w:t>
      </w:r>
    </w:p>
    <w:p w14:paraId="52AE6802" w14:textId="63C3F97A" w:rsidR="00274AC8" w:rsidRDefault="00127FD9">
      <w:pPr>
        <w:numPr>
          <w:ilvl w:val="0"/>
          <w:numId w:val="1"/>
        </w:numPr>
        <w:ind w:left="630" w:hanging="270"/>
        <w:jc w:val="both"/>
        <w:rPr>
          <w:sz w:val="20"/>
          <w:szCs w:val="20"/>
        </w:rPr>
      </w:pPr>
      <w:r>
        <w:rPr>
          <w:sz w:val="20"/>
          <w:szCs w:val="20"/>
        </w:rPr>
        <w:t xml:space="preserve">Spacing and Justification: </w:t>
      </w:r>
      <w:r w:rsidR="00D80A9F">
        <w:rPr>
          <w:sz w:val="20"/>
          <w:szCs w:val="20"/>
        </w:rPr>
        <w:t xml:space="preserve"> </w:t>
      </w:r>
      <w:r>
        <w:rPr>
          <w:sz w:val="20"/>
          <w:szCs w:val="20"/>
        </w:rPr>
        <w:t>Single line-spacing with full-justified text</w:t>
      </w:r>
      <w:r w:rsidR="006F51B0">
        <w:rPr>
          <w:sz w:val="20"/>
          <w:szCs w:val="20"/>
        </w:rPr>
        <w:t>.</w:t>
      </w:r>
    </w:p>
    <w:p w14:paraId="07D8E9EC" w14:textId="624E2A8D" w:rsidR="00274AC8" w:rsidRDefault="00E81A69">
      <w:pPr>
        <w:numPr>
          <w:ilvl w:val="0"/>
          <w:numId w:val="1"/>
        </w:numPr>
        <w:ind w:left="630" w:hanging="270"/>
        <w:jc w:val="both"/>
        <w:rPr>
          <w:sz w:val="20"/>
          <w:szCs w:val="20"/>
        </w:rPr>
      </w:pPr>
      <w:r>
        <w:rPr>
          <w:sz w:val="20"/>
          <w:szCs w:val="20"/>
        </w:rPr>
        <w:t>Paragraphs:  N</w:t>
      </w:r>
      <w:r w:rsidR="00127FD9">
        <w:rPr>
          <w:sz w:val="20"/>
          <w:szCs w:val="20"/>
        </w:rPr>
        <w:t xml:space="preserve">o indentation </w:t>
      </w:r>
      <w:r w:rsidR="00197CE7">
        <w:rPr>
          <w:sz w:val="20"/>
          <w:szCs w:val="20"/>
        </w:rPr>
        <w:t>of paragraphs</w:t>
      </w:r>
      <w:r>
        <w:rPr>
          <w:sz w:val="20"/>
          <w:szCs w:val="20"/>
        </w:rPr>
        <w:t>.</w:t>
      </w:r>
      <w:r w:rsidR="00D80A9F">
        <w:rPr>
          <w:sz w:val="20"/>
          <w:szCs w:val="20"/>
        </w:rPr>
        <w:t xml:space="preserve"> U</w:t>
      </w:r>
      <w:r w:rsidR="00127FD9">
        <w:rPr>
          <w:sz w:val="20"/>
          <w:szCs w:val="20"/>
        </w:rPr>
        <w:t>se a single blank line to separate paragraphs</w:t>
      </w:r>
      <w:r>
        <w:rPr>
          <w:sz w:val="20"/>
          <w:szCs w:val="20"/>
        </w:rPr>
        <w:t>.</w:t>
      </w:r>
      <w:r w:rsidR="00127FD9">
        <w:rPr>
          <w:sz w:val="20"/>
          <w:szCs w:val="20"/>
        </w:rPr>
        <w:t xml:space="preserve"> </w:t>
      </w:r>
    </w:p>
    <w:p w14:paraId="6BC3497F" w14:textId="75A2BDE0" w:rsidR="00BE6D23" w:rsidRDefault="00BE6D23">
      <w:pPr>
        <w:numPr>
          <w:ilvl w:val="0"/>
          <w:numId w:val="1"/>
        </w:numPr>
        <w:ind w:left="630" w:hanging="270"/>
        <w:jc w:val="both"/>
        <w:rPr>
          <w:sz w:val="20"/>
          <w:szCs w:val="20"/>
        </w:rPr>
      </w:pPr>
      <w:r w:rsidRPr="00BE6D23">
        <w:rPr>
          <w:sz w:val="20"/>
          <w:szCs w:val="20"/>
        </w:rPr>
        <w:t>No footers or page numbers</w:t>
      </w:r>
      <w:r>
        <w:rPr>
          <w:sz w:val="20"/>
          <w:szCs w:val="20"/>
        </w:rPr>
        <w:t>.</w:t>
      </w:r>
    </w:p>
    <w:p w14:paraId="2792CA5E" w14:textId="77777777" w:rsidR="00274AC8" w:rsidRDefault="00274AC8">
      <w:pPr>
        <w:jc w:val="both"/>
        <w:rPr>
          <w:sz w:val="20"/>
          <w:szCs w:val="20"/>
        </w:rPr>
      </w:pPr>
    </w:p>
    <w:p w14:paraId="456A4480" w14:textId="1C0110ED" w:rsidR="00274AC8" w:rsidRDefault="00127FD9" w:rsidP="00B71BF1">
      <w:pPr>
        <w:pStyle w:val="Heading2"/>
        <w:numPr>
          <w:ilvl w:val="0"/>
          <w:numId w:val="5"/>
        </w:numPr>
        <w:ind w:left="360"/>
      </w:pPr>
      <w:r>
        <w:t>Paper</w:t>
      </w:r>
      <w:r w:rsidR="00C41F14">
        <w:t>/Case Study</w:t>
      </w:r>
      <w:r>
        <w:t xml:space="preserve"> Title </w:t>
      </w:r>
    </w:p>
    <w:p w14:paraId="18D2BFDD" w14:textId="77777777" w:rsidR="00274AC8" w:rsidRDefault="00127FD9">
      <w:pPr>
        <w:jc w:val="both"/>
        <w:rPr>
          <w:sz w:val="20"/>
          <w:szCs w:val="20"/>
        </w:rPr>
      </w:pPr>
      <w:r>
        <w:rPr>
          <w:sz w:val="20"/>
          <w:szCs w:val="20"/>
        </w:rPr>
        <w:t xml:space="preserve">The following information should be included at the top of the first page: </w:t>
      </w:r>
    </w:p>
    <w:p w14:paraId="68174132" w14:textId="739744B8" w:rsidR="00274AC8" w:rsidRDefault="00127FD9">
      <w:pPr>
        <w:numPr>
          <w:ilvl w:val="0"/>
          <w:numId w:val="2"/>
        </w:numPr>
        <w:ind w:left="630" w:hanging="270"/>
        <w:jc w:val="both"/>
        <w:rPr>
          <w:sz w:val="20"/>
          <w:szCs w:val="20"/>
        </w:rPr>
      </w:pPr>
      <w:r>
        <w:rPr>
          <w:sz w:val="20"/>
          <w:szCs w:val="20"/>
        </w:rPr>
        <w:t xml:space="preserve">Paper title: </w:t>
      </w:r>
      <w:r w:rsidR="00D80A9F">
        <w:rPr>
          <w:sz w:val="20"/>
          <w:szCs w:val="20"/>
        </w:rPr>
        <w:t xml:space="preserve"> </w:t>
      </w:r>
      <w:r>
        <w:rPr>
          <w:sz w:val="20"/>
          <w:szCs w:val="20"/>
        </w:rPr>
        <w:t>16-point</w:t>
      </w:r>
      <w:r w:rsidR="00D80A9F">
        <w:rPr>
          <w:sz w:val="20"/>
          <w:szCs w:val="20"/>
        </w:rPr>
        <w:t>,</w:t>
      </w:r>
      <w:r>
        <w:rPr>
          <w:sz w:val="20"/>
          <w:szCs w:val="20"/>
        </w:rPr>
        <w:t xml:space="preserve"> Times New Roman, </w:t>
      </w:r>
      <w:r w:rsidR="00D80A9F">
        <w:rPr>
          <w:sz w:val="20"/>
          <w:szCs w:val="20"/>
        </w:rPr>
        <w:t>b</w:t>
      </w:r>
      <w:r>
        <w:rPr>
          <w:sz w:val="20"/>
          <w:szCs w:val="20"/>
        </w:rPr>
        <w:t xml:space="preserve">old, </w:t>
      </w:r>
      <w:r w:rsidR="00D80A9F">
        <w:rPr>
          <w:sz w:val="20"/>
          <w:szCs w:val="20"/>
        </w:rPr>
        <w:t>c</w:t>
      </w:r>
      <w:r>
        <w:rPr>
          <w:sz w:val="20"/>
          <w:szCs w:val="20"/>
        </w:rPr>
        <w:t xml:space="preserve">entered, </w:t>
      </w:r>
      <w:r w:rsidR="00D80A9F">
        <w:rPr>
          <w:sz w:val="20"/>
          <w:szCs w:val="20"/>
        </w:rPr>
        <w:t>u</w:t>
      </w:r>
      <w:r>
        <w:rPr>
          <w:sz w:val="20"/>
          <w:szCs w:val="20"/>
        </w:rPr>
        <w:t xml:space="preserve">pper and </w:t>
      </w:r>
      <w:r w:rsidR="00D80A9F">
        <w:rPr>
          <w:sz w:val="20"/>
          <w:szCs w:val="20"/>
        </w:rPr>
        <w:t>l</w:t>
      </w:r>
      <w:r>
        <w:rPr>
          <w:sz w:val="20"/>
          <w:szCs w:val="20"/>
        </w:rPr>
        <w:t xml:space="preserve">ower </w:t>
      </w:r>
      <w:r w:rsidR="009B712D">
        <w:rPr>
          <w:sz w:val="20"/>
          <w:szCs w:val="20"/>
        </w:rPr>
        <w:t>c</w:t>
      </w:r>
      <w:r>
        <w:rPr>
          <w:sz w:val="20"/>
          <w:szCs w:val="20"/>
        </w:rPr>
        <w:t xml:space="preserve">ase </w:t>
      </w:r>
    </w:p>
    <w:p w14:paraId="54F2211A" w14:textId="3EBA5D21" w:rsidR="004F48D8" w:rsidRPr="004F48D8" w:rsidRDefault="00127FD9">
      <w:pPr>
        <w:numPr>
          <w:ilvl w:val="0"/>
          <w:numId w:val="2"/>
        </w:numPr>
        <w:ind w:left="630" w:hanging="270"/>
        <w:jc w:val="both"/>
        <w:rPr>
          <w:sz w:val="20"/>
          <w:szCs w:val="20"/>
        </w:rPr>
      </w:pPr>
      <w:r w:rsidRPr="004F48D8">
        <w:rPr>
          <w:sz w:val="20"/>
          <w:szCs w:val="20"/>
        </w:rPr>
        <w:t>Abstract ID (initial submission)</w:t>
      </w:r>
      <w:r w:rsidR="002C4970" w:rsidRPr="004F48D8">
        <w:rPr>
          <w:sz w:val="20"/>
          <w:szCs w:val="20"/>
        </w:rPr>
        <w:t>:</w:t>
      </w:r>
      <w:r w:rsidRPr="004F48D8">
        <w:rPr>
          <w:sz w:val="20"/>
          <w:szCs w:val="20"/>
        </w:rPr>
        <w:t xml:space="preserve"> 12-point</w:t>
      </w:r>
      <w:r w:rsidR="00D80A9F">
        <w:rPr>
          <w:sz w:val="20"/>
          <w:szCs w:val="20"/>
        </w:rPr>
        <w:t>,</w:t>
      </w:r>
      <w:r w:rsidRPr="004F48D8">
        <w:rPr>
          <w:sz w:val="20"/>
          <w:szCs w:val="20"/>
        </w:rPr>
        <w:t xml:space="preserve"> Times New Roman, bold, </w:t>
      </w:r>
      <w:r w:rsidR="002C4970" w:rsidRPr="004F48D8">
        <w:rPr>
          <w:sz w:val="20"/>
          <w:szCs w:val="20"/>
        </w:rPr>
        <w:t xml:space="preserve">and </w:t>
      </w:r>
      <w:r w:rsidRPr="004F48D8">
        <w:rPr>
          <w:sz w:val="20"/>
          <w:szCs w:val="20"/>
        </w:rPr>
        <w:t>centered</w:t>
      </w:r>
      <w:r w:rsidR="002C4970" w:rsidRPr="004F48D8">
        <w:rPr>
          <w:sz w:val="20"/>
          <w:szCs w:val="20"/>
        </w:rPr>
        <w:t xml:space="preserve">.  </w:t>
      </w:r>
    </w:p>
    <w:p w14:paraId="5F2D190B" w14:textId="73684893" w:rsidR="00274AC8" w:rsidRPr="00D21BB8" w:rsidRDefault="004F48D8">
      <w:pPr>
        <w:numPr>
          <w:ilvl w:val="0"/>
          <w:numId w:val="2"/>
        </w:numPr>
        <w:ind w:left="630" w:hanging="270"/>
        <w:jc w:val="both"/>
        <w:rPr>
          <w:sz w:val="20"/>
          <w:szCs w:val="20"/>
        </w:rPr>
      </w:pPr>
      <w:r w:rsidRPr="00D21BB8">
        <w:rPr>
          <w:sz w:val="20"/>
          <w:szCs w:val="20"/>
        </w:rPr>
        <w:t xml:space="preserve">Leave space on this page </w:t>
      </w:r>
      <w:r w:rsidR="002C4970" w:rsidRPr="00D21BB8">
        <w:rPr>
          <w:sz w:val="20"/>
          <w:szCs w:val="20"/>
        </w:rPr>
        <w:t>for author names and organizations to</w:t>
      </w:r>
      <w:r w:rsidR="00D80A9F">
        <w:rPr>
          <w:sz w:val="20"/>
          <w:szCs w:val="20"/>
        </w:rPr>
        <w:t xml:space="preserve"> ensure the </w:t>
      </w:r>
      <w:r w:rsidR="002C4970" w:rsidRPr="00D21BB8">
        <w:rPr>
          <w:sz w:val="20"/>
          <w:szCs w:val="20"/>
        </w:rPr>
        <w:t xml:space="preserve">6-page limit </w:t>
      </w:r>
      <w:r w:rsidR="00D80A9F">
        <w:rPr>
          <w:sz w:val="20"/>
          <w:szCs w:val="20"/>
        </w:rPr>
        <w:t xml:space="preserve">is not exceeded </w:t>
      </w:r>
      <w:r w:rsidR="002C4970" w:rsidRPr="00D21BB8">
        <w:rPr>
          <w:sz w:val="20"/>
          <w:szCs w:val="20"/>
        </w:rPr>
        <w:t>if the manuscript is accepted</w:t>
      </w:r>
      <w:r w:rsidR="002C4970" w:rsidRPr="00D21BB8">
        <w:rPr>
          <w:color w:val="1F497D" w:themeColor="text2"/>
          <w:sz w:val="20"/>
          <w:szCs w:val="20"/>
        </w:rPr>
        <w:t>.</w:t>
      </w:r>
    </w:p>
    <w:p w14:paraId="60269AD4" w14:textId="77777777" w:rsidR="00274AC8" w:rsidRDefault="00274AC8">
      <w:pPr>
        <w:jc w:val="both"/>
        <w:rPr>
          <w:sz w:val="20"/>
          <w:szCs w:val="20"/>
        </w:rPr>
      </w:pPr>
    </w:p>
    <w:p w14:paraId="440E9D11" w14:textId="77777777" w:rsidR="00274AC8" w:rsidRDefault="00127FD9" w:rsidP="00B71BF1">
      <w:pPr>
        <w:pStyle w:val="Heading2"/>
        <w:numPr>
          <w:ilvl w:val="0"/>
          <w:numId w:val="5"/>
        </w:numPr>
        <w:ind w:left="360"/>
      </w:pPr>
      <w:r>
        <w:t>Text Sections and Headings</w:t>
      </w:r>
    </w:p>
    <w:p w14:paraId="7FAC7E26" w14:textId="77777777" w:rsidR="00274AC8" w:rsidRPr="00B71BF1" w:rsidRDefault="00127FD9" w:rsidP="00B71BF1">
      <w:pPr>
        <w:pStyle w:val="Heading2"/>
        <w:numPr>
          <w:ilvl w:val="1"/>
          <w:numId w:val="5"/>
        </w:numPr>
        <w:ind w:left="360"/>
        <w:rPr>
          <w:sz w:val="20"/>
          <w:szCs w:val="20"/>
        </w:rPr>
      </w:pPr>
      <w:r w:rsidRPr="00B71BF1">
        <w:rPr>
          <w:sz w:val="20"/>
          <w:szCs w:val="20"/>
        </w:rPr>
        <w:t>Text Sections and Headings</w:t>
      </w:r>
    </w:p>
    <w:p w14:paraId="6F274959" w14:textId="7D20A32A" w:rsidR="00770D31" w:rsidRDefault="00127FD9">
      <w:pPr>
        <w:jc w:val="both"/>
        <w:rPr>
          <w:sz w:val="20"/>
          <w:szCs w:val="20"/>
        </w:rPr>
      </w:pPr>
      <w:r>
        <w:rPr>
          <w:sz w:val="20"/>
          <w:szCs w:val="20"/>
        </w:rPr>
        <w:t>Text should be organized into sections and subsections</w:t>
      </w:r>
      <w:r w:rsidR="00961399">
        <w:rPr>
          <w:sz w:val="20"/>
          <w:szCs w:val="20"/>
        </w:rPr>
        <w:t>.</w:t>
      </w:r>
      <w:r w:rsidR="00E81A69">
        <w:rPr>
          <w:sz w:val="20"/>
          <w:szCs w:val="20"/>
        </w:rPr>
        <w:t xml:space="preserve">  </w:t>
      </w:r>
      <w:r>
        <w:rPr>
          <w:sz w:val="20"/>
          <w:szCs w:val="20"/>
        </w:rPr>
        <w:t xml:space="preserve">A single line should separate paragraphs; no </w:t>
      </w:r>
      <w:r w:rsidR="009E6100">
        <w:rPr>
          <w:sz w:val="20"/>
          <w:szCs w:val="20"/>
        </w:rPr>
        <w:t xml:space="preserve">paragraph </w:t>
      </w:r>
      <w:r>
        <w:rPr>
          <w:sz w:val="20"/>
          <w:szCs w:val="20"/>
        </w:rPr>
        <w:t>indentation</w:t>
      </w:r>
      <w:r w:rsidR="00E81A69">
        <w:rPr>
          <w:sz w:val="20"/>
          <w:szCs w:val="20"/>
        </w:rPr>
        <w:t>s</w:t>
      </w:r>
      <w:r>
        <w:rPr>
          <w:sz w:val="20"/>
          <w:szCs w:val="20"/>
        </w:rPr>
        <w:t xml:space="preserve"> should be used. </w:t>
      </w:r>
    </w:p>
    <w:p w14:paraId="17E982E7" w14:textId="77777777" w:rsidR="00770D31" w:rsidRDefault="00770D31">
      <w:pPr>
        <w:jc w:val="both"/>
        <w:rPr>
          <w:sz w:val="20"/>
          <w:szCs w:val="20"/>
        </w:rPr>
      </w:pPr>
    </w:p>
    <w:p w14:paraId="17706401" w14:textId="5135CC40" w:rsidR="00274AC8" w:rsidRDefault="00127FD9">
      <w:pPr>
        <w:jc w:val="both"/>
        <w:rPr>
          <w:sz w:val="20"/>
          <w:szCs w:val="20"/>
        </w:rPr>
      </w:pPr>
      <w:r>
        <w:rPr>
          <w:sz w:val="20"/>
          <w:szCs w:val="20"/>
        </w:rPr>
        <w:t xml:space="preserve">Font guidelines are as follows: </w:t>
      </w:r>
    </w:p>
    <w:p w14:paraId="4DB938EE" w14:textId="6A482BA8" w:rsidR="00274AC8" w:rsidRDefault="00127FD9">
      <w:pPr>
        <w:numPr>
          <w:ilvl w:val="0"/>
          <w:numId w:val="3"/>
        </w:numPr>
        <w:ind w:left="630" w:hanging="270"/>
        <w:jc w:val="both"/>
        <w:rPr>
          <w:sz w:val="20"/>
          <w:szCs w:val="20"/>
        </w:rPr>
      </w:pPr>
      <w:r>
        <w:rPr>
          <w:sz w:val="20"/>
          <w:szCs w:val="20"/>
        </w:rPr>
        <w:t xml:space="preserve">Section Headings: Numbered, 12-point, Times New Roman, </w:t>
      </w:r>
      <w:r w:rsidR="009E6100">
        <w:rPr>
          <w:sz w:val="20"/>
          <w:szCs w:val="20"/>
        </w:rPr>
        <w:t xml:space="preserve">bold, </w:t>
      </w:r>
      <w:proofErr w:type="gramStart"/>
      <w:r w:rsidR="009E6100">
        <w:rPr>
          <w:sz w:val="20"/>
          <w:szCs w:val="20"/>
        </w:rPr>
        <w:t>u</w:t>
      </w:r>
      <w:r>
        <w:rPr>
          <w:sz w:val="20"/>
          <w:szCs w:val="20"/>
        </w:rPr>
        <w:t>pper</w:t>
      </w:r>
      <w:proofErr w:type="gramEnd"/>
      <w:r>
        <w:rPr>
          <w:sz w:val="20"/>
          <w:szCs w:val="20"/>
        </w:rPr>
        <w:t xml:space="preserve"> and </w:t>
      </w:r>
      <w:r w:rsidR="009E6100">
        <w:rPr>
          <w:sz w:val="20"/>
          <w:szCs w:val="20"/>
        </w:rPr>
        <w:t>l</w:t>
      </w:r>
      <w:r>
        <w:rPr>
          <w:sz w:val="20"/>
          <w:szCs w:val="20"/>
        </w:rPr>
        <w:t xml:space="preserve">ower </w:t>
      </w:r>
      <w:r w:rsidR="009E6100">
        <w:rPr>
          <w:sz w:val="20"/>
          <w:szCs w:val="20"/>
        </w:rPr>
        <w:t>c</w:t>
      </w:r>
      <w:r>
        <w:rPr>
          <w:sz w:val="20"/>
          <w:szCs w:val="20"/>
        </w:rPr>
        <w:t xml:space="preserve">ase, </w:t>
      </w:r>
      <w:r w:rsidR="009E6100">
        <w:rPr>
          <w:sz w:val="20"/>
          <w:szCs w:val="20"/>
        </w:rPr>
        <w:t>l</w:t>
      </w:r>
      <w:r>
        <w:rPr>
          <w:sz w:val="20"/>
          <w:szCs w:val="20"/>
        </w:rPr>
        <w:t>eft-justified. Leave one blank line above only.</w:t>
      </w:r>
    </w:p>
    <w:p w14:paraId="55C9CFA3" w14:textId="3671285A" w:rsidR="00274AC8" w:rsidRDefault="00127FD9">
      <w:pPr>
        <w:numPr>
          <w:ilvl w:val="0"/>
          <w:numId w:val="3"/>
        </w:numPr>
        <w:ind w:left="630" w:hanging="270"/>
        <w:jc w:val="both"/>
        <w:rPr>
          <w:sz w:val="20"/>
          <w:szCs w:val="20"/>
        </w:rPr>
      </w:pPr>
      <w:r>
        <w:rPr>
          <w:sz w:val="20"/>
          <w:szCs w:val="20"/>
        </w:rPr>
        <w:t xml:space="preserve">Section Sub-headings: Numbered, 10-point, Times New Roman, </w:t>
      </w:r>
      <w:r w:rsidR="009E6100">
        <w:rPr>
          <w:sz w:val="20"/>
          <w:szCs w:val="20"/>
        </w:rPr>
        <w:t xml:space="preserve">bold, </w:t>
      </w:r>
      <w:proofErr w:type="gramStart"/>
      <w:r w:rsidR="009E6100">
        <w:rPr>
          <w:sz w:val="20"/>
          <w:szCs w:val="20"/>
        </w:rPr>
        <w:t>u</w:t>
      </w:r>
      <w:r>
        <w:rPr>
          <w:sz w:val="20"/>
          <w:szCs w:val="20"/>
        </w:rPr>
        <w:t>pper</w:t>
      </w:r>
      <w:proofErr w:type="gramEnd"/>
      <w:r>
        <w:rPr>
          <w:sz w:val="20"/>
          <w:szCs w:val="20"/>
        </w:rPr>
        <w:t xml:space="preserve"> and </w:t>
      </w:r>
      <w:r w:rsidR="009E6100">
        <w:rPr>
          <w:sz w:val="20"/>
          <w:szCs w:val="20"/>
        </w:rPr>
        <w:t>l</w:t>
      </w:r>
      <w:r>
        <w:rPr>
          <w:sz w:val="20"/>
          <w:szCs w:val="20"/>
        </w:rPr>
        <w:t xml:space="preserve">ower </w:t>
      </w:r>
      <w:r w:rsidR="009E6100">
        <w:rPr>
          <w:sz w:val="20"/>
          <w:szCs w:val="20"/>
        </w:rPr>
        <w:t>c</w:t>
      </w:r>
      <w:r>
        <w:rPr>
          <w:sz w:val="20"/>
          <w:szCs w:val="20"/>
        </w:rPr>
        <w:t xml:space="preserve">ase, </w:t>
      </w:r>
      <w:r w:rsidR="009E6100">
        <w:rPr>
          <w:sz w:val="20"/>
          <w:szCs w:val="20"/>
        </w:rPr>
        <w:t>l</w:t>
      </w:r>
      <w:r>
        <w:rPr>
          <w:sz w:val="20"/>
          <w:szCs w:val="20"/>
        </w:rPr>
        <w:t xml:space="preserve">eft-justified. Leave one blank line </w:t>
      </w:r>
      <w:r w:rsidR="009E6100">
        <w:rPr>
          <w:sz w:val="20"/>
          <w:szCs w:val="20"/>
        </w:rPr>
        <w:t xml:space="preserve">between subsections. </w:t>
      </w:r>
    </w:p>
    <w:p w14:paraId="3A2F7D80" w14:textId="442A7020" w:rsidR="00274AC8" w:rsidRDefault="00127FD9">
      <w:pPr>
        <w:numPr>
          <w:ilvl w:val="0"/>
          <w:numId w:val="3"/>
        </w:numPr>
        <w:ind w:left="630" w:hanging="270"/>
        <w:jc w:val="both"/>
        <w:rPr>
          <w:sz w:val="20"/>
          <w:szCs w:val="20"/>
        </w:rPr>
      </w:pPr>
      <w:r>
        <w:rPr>
          <w:sz w:val="20"/>
          <w:szCs w:val="20"/>
        </w:rPr>
        <w:t>Regular text: 10-point</w:t>
      </w:r>
      <w:r w:rsidR="009E6100">
        <w:rPr>
          <w:sz w:val="20"/>
          <w:szCs w:val="20"/>
        </w:rPr>
        <w:t>,</w:t>
      </w:r>
      <w:r>
        <w:rPr>
          <w:sz w:val="20"/>
          <w:szCs w:val="20"/>
        </w:rPr>
        <w:t xml:space="preserve"> Times New Roman, </w:t>
      </w:r>
      <w:r w:rsidR="009E6100">
        <w:rPr>
          <w:sz w:val="20"/>
          <w:szCs w:val="20"/>
        </w:rPr>
        <w:t>f</w:t>
      </w:r>
      <w:r>
        <w:rPr>
          <w:sz w:val="20"/>
          <w:szCs w:val="20"/>
        </w:rPr>
        <w:t>ull-justified, with a single line between paragraphs.</w:t>
      </w:r>
    </w:p>
    <w:p w14:paraId="4AEE76CF" w14:textId="77777777" w:rsidR="00274AC8" w:rsidRDefault="00274AC8">
      <w:pPr>
        <w:jc w:val="both"/>
        <w:rPr>
          <w:sz w:val="20"/>
          <w:szCs w:val="20"/>
        </w:rPr>
      </w:pPr>
    </w:p>
    <w:p w14:paraId="3950BED6" w14:textId="5D18318F" w:rsidR="00274AC8" w:rsidRDefault="00127FD9" w:rsidP="00B71BF1">
      <w:pPr>
        <w:pStyle w:val="Heading2"/>
        <w:numPr>
          <w:ilvl w:val="1"/>
          <w:numId w:val="5"/>
        </w:numPr>
        <w:ind w:left="360"/>
      </w:pPr>
      <w:r>
        <w:t>Bullets</w:t>
      </w:r>
    </w:p>
    <w:p w14:paraId="69B5F733" w14:textId="77777777" w:rsidR="00274AC8" w:rsidRDefault="00127FD9">
      <w:pPr>
        <w:jc w:val="both"/>
        <w:rPr>
          <w:sz w:val="20"/>
          <w:szCs w:val="20"/>
        </w:rPr>
      </w:pPr>
      <w:r>
        <w:rPr>
          <w:sz w:val="20"/>
          <w:szCs w:val="20"/>
        </w:rPr>
        <w:t>Bullet guidelines are as follows:</w:t>
      </w:r>
    </w:p>
    <w:p w14:paraId="04D9491B" w14:textId="77777777" w:rsidR="00274AC8" w:rsidRDefault="00127FD9">
      <w:pPr>
        <w:numPr>
          <w:ilvl w:val="0"/>
          <w:numId w:val="3"/>
        </w:numPr>
        <w:ind w:left="630" w:hanging="270"/>
        <w:jc w:val="both"/>
        <w:rPr>
          <w:sz w:val="20"/>
          <w:szCs w:val="20"/>
        </w:rPr>
      </w:pPr>
      <w:r>
        <w:rPr>
          <w:sz w:val="20"/>
          <w:szCs w:val="20"/>
        </w:rPr>
        <w:t>First level bullet</w:t>
      </w:r>
    </w:p>
    <w:p w14:paraId="1ED641AA" w14:textId="77777777" w:rsidR="00274AC8" w:rsidRDefault="00127FD9">
      <w:pPr>
        <w:numPr>
          <w:ilvl w:val="0"/>
          <w:numId w:val="4"/>
        </w:numPr>
        <w:ind w:left="990" w:hanging="270"/>
        <w:jc w:val="both"/>
        <w:rPr>
          <w:sz w:val="20"/>
          <w:szCs w:val="20"/>
        </w:rPr>
      </w:pPr>
      <w:r>
        <w:rPr>
          <w:sz w:val="20"/>
          <w:szCs w:val="20"/>
        </w:rPr>
        <w:t>Second level bullet</w:t>
      </w:r>
    </w:p>
    <w:p w14:paraId="1CA1DAB8" w14:textId="77777777" w:rsidR="00274AC8" w:rsidRDefault="00127FD9">
      <w:pPr>
        <w:numPr>
          <w:ilvl w:val="1"/>
          <w:numId w:val="4"/>
        </w:numPr>
        <w:ind w:left="1350" w:hanging="270"/>
        <w:jc w:val="both"/>
        <w:rPr>
          <w:sz w:val="20"/>
          <w:szCs w:val="20"/>
        </w:rPr>
      </w:pPr>
      <w:r>
        <w:rPr>
          <w:sz w:val="20"/>
          <w:szCs w:val="20"/>
        </w:rPr>
        <w:t>Third level bullet</w:t>
      </w:r>
    </w:p>
    <w:p w14:paraId="08509505" w14:textId="77777777" w:rsidR="00274AC8" w:rsidRDefault="00274AC8">
      <w:pPr>
        <w:jc w:val="both"/>
        <w:rPr>
          <w:sz w:val="20"/>
          <w:szCs w:val="20"/>
        </w:rPr>
      </w:pPr>
    </w:p>
    <w:p w14:paraId="1671A1EF" w14:textId="08D4DCFD" w:rsidR="00274AC8" w:rsidRDefault="00127FD9" w:rsidP="00B71BF1">
      <w:pPr>
        <w:pStyle w:val="Heading2"/>
      </w:pPr>
      <w:r>
        <w:lastRenderedPageBreak/>
        <w:t xml:space="preserve">4. </w:t>
      </w:r>
      <w:r w:rsidR="00D21BB8">
        <w:tab/>
      </w:r>
      <w:r>
        <w:t>Figures, Tables, and Captions</w:t>
      </w:r>
    </w:p>
    <w:p w14:paraId="205DFB62" w14:textId="77777777" w:rsidR="00274AC8" w:rsidRDefault="00127FD9">
      <w:pPr>
        <w:jc w:val="both"/>
        <w:rPr>
          <w:sz w:val="20"/>
          <w:szCs w:val="20"/>
        </w:rPr>
      </w:pPr>
      <w:r>
        <w:rPr>
          <w:sz w:val="20"/>
          <w:szCs w:val="20"/>
        </w:rPr>
        <w:t>Tables and figures should be included in the main text (</w:t>
      </w:r>
      <w:r w:rsidRPr="006F51B0">
        <w:rPr>
          <w:sz w:val="20"/>
          <w:szCs w:val="20"/>
        </w:rPr>
        <w:t>see Figure 1 and Table 1</w:t>
      </w:r>
      <w:r>
        <w:rPr>
          <w:sz w:val="20"/>
          <w:szCs w:val="20"/>
        </w:rPr>
        <w:t>), as close to the point of their introduction as possible. Figure and table numbering should be independent. Captions guidelines are as follows:</w:t>
      </w:r>
    </w:p>
    <w:p w14:paraId="5081A2DC" w14:textId="16B60EF3" w:rsidR="00274AC8" w:rsidRDefault="00127FD9">
      <w:pPr>
        <w:numPr>
          <w:ilvl w:val="0"/>
          <w:numId w:val="3"/>
        </w:numPr>
        <w:ind w:left="630" w:hanging="270"/>
        <w:jc w:val="both"/>
        <w:rPr>
          <w:sz w:val="20"/>
          <w:szCs w:val="20"/>
        </w:rPr>
      </w:pPr>
      <w:r>
        <w:rPr>
          <w:sz w:val="20"/>
          <w:szCs w:val="20"/>
        </w:rPr>
        <w:t>Table caption</w:t>
      </w:r>
      <w:r w:rsidR="00C91BED">
        <w:rPr>
          <w:sz w:val="20"/>
          <w:szCs w:val="20"/>
        </w:rPr>
        <w:t>s</w:t>
      </w:r>
      <w:r>
        <w:rPr>
          <w:sz w:val="20"/>
          <w:szCs w:val="20"/>
        </w:rPr>
        <w:t>: 10-point</w:t>
      </w:r>
      <w:r w:rsidR="009E6100">
        <w:rPr>
          <w:sz w:val="20"/>
          <w:szCs w:val="20"/>
        </w:rPr>
        <w:t xml:space="preserve">, </w:t>
      </w:r>
      <w:r>
        <w:rPr>
          <w:sz w:val="20"/>
          <w:szCs w:val="20"/>
        </w:rPr>
        <w:t xml:space="preserve">Times New Roman, centered (if a single line) or full-justified (if multiple lines). Place </w:t>
      </w:r>
      <w:r w:rsidR="009E6100">
        <w:rPr>
          <w:sz w:val="20"/>
          <w:szCs w:val="20"/>
        </w:rPr>
        <w:t xml:space="preserve">caption </w:t>
      </w:r>
      <w:r>
        <w:rPr>
          <w:sz w:val="20"/>
          <w:szCs w:val="20"/>
        </w:rPr>
        <w:t>above the table</w:t>
      </w:r>
      <w:r w:rsidR="00811569">
        <w:rPr>
          <w:sz w:val="20"/>
          <w:szCs w:val="20"/>
        </w:rPr>
        <w:t>;</w:t>
      </w:r>
      <w:r>
        <w:rPr>
          <w:sz w:val="20"/>
          <w:szCs w:val="20"/>
        </w:rPr>
        <w:t xml:space="preserve"> leave one blank line above and below</w:t>
      </w:r>
      <w:r w:rsidR="00E81A69">
        <w:rPr>
          <w:sz w:val="20"/>
          <w:szCs w:val="20"/>
        </w:rPr>
        <w:t xml:space="preserve"> the caption</w:t>
      </w:r>
      <w:r>
        <w:rPr>
          <w:sz w:val="20"/>
          <w:szCs w:val="20"/>
        </w:rPr>
        <w:t xml:space="preserve">. For </w:t>
      </w:r>
      <w:r w:rsidR="009E6100">
        <w:rPr>
          <w:sz w:val="20"/>
          <w:szCs w:val="20"/>
        </w:rPr>
        <w:t xml:space="preserve">an </w:t>
      </w:r>
      <w:r>
        <w:rPr>
          <w:sz w:val="20"/>
          <w:szCs w:val="20"/>
        </w:rPr>
        <w:t xml:space="preserve">example, </w:t>
      </w:r>
      <w:r w:rsidRPr="00C91BED">
        <w:rPr>
          <w:sz w:val="20"/>
          <w:szCs w:val="20"/>
        </w:rPr>
        <w:t>see Table 1 below</w:t>
      </w:r>
      <w:r>
        <w:rPr>
          <w:sz w:val="20"/>
          <w:szCs w:val="20"/>
        </w:rPr>
        <w:t>.</w:t>
      </w:r>
    </w:p>
    <w:p w14:paraId="1851BDF9" w14:textId="35EE90C4" w:rsidR="00274AC8" w:rsidRDefault="00127FD9">
      <w:pPr>
        <w:numPr>
          <w:ilvl w:val="0"/>
          <w:numId w:val="3"/>
        </w:numPr>
        <w:ind w:left="630" w:hanging="270"/>
        <w:jc w:val="both"/>
        <w:rPr>
          <w:sz w:val="20"/>
          <w:szCs w:val="20"/>
        </w:rPr>
      </w:pPr>
      <w:r>
        <w:rPr>
          <w:sz w:val="20"/>
          <w:szCs w:val="20"/>
        </w:rPr>
        <w:t>Figure captions: 10-point</w:t>
      </w:r>
      <w:r w:rsidR="009E6100">
        <w:rPr>
          <w:sz w:val="20"/>
          <w:szCs w:val="20"/>
        </w:rPr>
        <w:t>,</w:t>
      </w:r>
      <w:r>
        <w:rPr>
          <w:sz w:val="20"/>
          <w:szCs w:val="20"/>
        </w:rPr>
        <w:t xml:space="preserve"> Times New Roman, centered (if a single line) or full-justified (if multiple lines). Place </w:t>
      </w:r>
      <w:r w:rsidR="009E6100">
        <w:rPr>
          <w:sz w:val="20"/>
          <w:szCs w:val="20"/>
        </w:rPr>
        <w:t xml:space="preserve">caption </w:t>
      </w:r>
      <w:r>
        <w:rPr>
          <w:sz w:val="20"/>
          <w:szCs w:val="20"/>
        </w:rPr>
        <w:t>below the figure</w:t>
      </w:r>
      <w:r w:rsidR="00811569">
        <w:rPr>
          <w:sz w:val="20"/>
          <w:szCs w:val="20"/>
        </w:rPr>
        <w:t>;</w:t>
      </w:r>
      <w:r>
        <w:rPr>
          <w:sz w:val="20"/>
          <w:szCs w:val="20"/>
        </w:rPr>
        <w:t xml:space="preserve"> leave one blank line above and below. </w:t>
      </w:r>
      <w:r w:rsidR="003D3634">
        <w:rPr>
          <w:sz w:val="20"/>
          <w:szCs w:val="20"/>
        </w:rPr>
        <w:t xml:space="preserve">As </w:t>
      </w:r>
      <w:r w:rsidR="009E6100">
        <w:rPr>
          <w:sz w:val="20"/>
          <w:szCs w:val="20"/>
        </w:rPr>
        <w:t xml:space="preserve">an </w:t>
      </w:r>
      <w:r>
        <w:rPr>
          <w:sz w:val="20"/>
          <w:szCs w:val="20"/>
        </w:rPr>
        <w:t xml:space="preserve">example, </w:t>
      </w:r>
      <w:r w:rsidRPr="00C91BED">
        <w:rPr>
          <w:sz w:val="20"/>
          <w:szCs w:val="20"/>
        </w:rPr>
        <w:t>see Figure 1 below</w:t>
      </w:r>
      <w:r>
        <w:rPr>
          <w:sz w:val="20"/>
          <w:szCs w:val="20"/>
        </w:rPr>
        <w:t>.</w:t>
      </w:r>
    </w:p>
    <w:p w14:paraId="0B538713" w14:textId="7A01E657" w:rsidR="00B71BF1" w:rsidRDefault="00B71BF1" w:rsidP="00B71BF1">
      <w:pPr>
        <w:jc w:val="both"/>
        <w:rPr>
          <w:sz w:val="20"/>
          <w:szCs w:val="20"/>
        </w:rPr>
      </w:pPr>
    </w:p>
    <w:p w14:paraId="5C16E369" w14:textId="508229A3" w:rsidR="00274AC8" w:rsidRDefault="00127FD9" w:rsidP="00E968E0">
      <w:pPr>
        <w:ind w:firstLine="360"/>
        <w:rPr>
          <w:sz w:val="20"/>
          <w:szCs w:val="20"/>
        </w:rPr>
      </w:pPr>
      <w:r w:rsidRPr="006F51B0">
        <w:rPr>
          <w:bCs/>
          <w:sz w:val="20"/>
          <w:szCs w:val="20"/>
        </w:rPr>
        <w:t>Table 1:</w:t>
      </w:r>
      <w:r w:rsidR="00E81A69" w:rsidRPr="006F51B0">
        <w:rPr>
          <w:bCs/>
          <w:sz w:val="20"/>
          <w:szCs w:val="20"/>
        </w:rPr>
        <w:t xml:space="preserve"> </w:t>
      </w:r>
      <w:r w:rsidRPr="006F51B0">
        <w:rPr>
          <w:bCs/>
          <w:sz w:val="20"/>
          <w:szCs w:val="20"/>
        </w:rPr>
        <w:t xml:space="preserve"> Example</w:t>
      </w:r>
      <w:r>
        <w:rPr>
          <w:sz w:val="20"/>
          <w:szCs w:val="20"/>
        </w:rPr>
        <w:t xml:space="preserve"> table listing preventive maintenance parameters for an electric distribution case study</w:t>
      </w:r>
    </w:p>
    <w:p w14:paraId="751F0FAE" w14:textId="77777777" w:rsidR="00274AC8" w:rsidRDefault="00274AC8">
      <w:pPr>
        <w:keepNext/>
        <w:jc w:val="center"/>
        <w:rPr>
          <w:sz w:val="20"/>
          <w:szCs w:val="20"/>
        </w:rPr>
      </w:pPr>
    </w:p>
    <w:tbl>
      <w:tblPr>
        <w:tblStyle w:val="a1"/>
        <w:tblW w:w="6750" w:type="dxa"/>
        <w:jc w:val="center"/>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2430"/>
        <w:gridCol w:w="1350"/>
        <w:gridCol w:w="1530"/>
        <w:gridCol w:w="1440"/>
      </w:tblGrid>
      <w:tr w:rsidR="00274AC8" w14:paraId="1CE61357" w14:textId="77777777">
        <w:trPr>
          <w:trHeight w:val="432"/>
          <w:jc w:val="center"/>
        </w:trPr>
        <w:tc>
          <w:tcPr>
            <w:tcW w:w="2430" w:type="dxa"/>
            <w:tcBorders>
              <w:top w:val="single" w:sz="4" w:space="0" w:color="000000"/>
              <w:bottom w:val="single" w:sz="4" w:space="0" w:color="000000"/>
            </w:tcBorders>
            <w:vAlign w:val="center"/>
          </w:tcPr>
          <w:p w14:paraId="43A96C90" w14:textId="77777777" w:rsidR="00274AC8" w:rsidRDefault="00127FD9">
            <w:pPr>
              <w:rPr>
                <w:sz w:val="20"/>
                <w:szCs w:val="20"/>
              </w:rPr>
            </w:pPr>
            <w:r>
              <w:rPr>
                <w:sz w:val="20"/>
                <w:szCs w:val="20"/>
              </w:rPr>
              <w:t>Critical component (</w:t>
            </w:r>
            <w:r>
              <w:rPr>
                <w:i/>
                <w:sz w:val="20"/>
                <w:szCs w:val="20"/>
              </w:rPr>
              <w:t>X</w:t>
            </w:r>
            <w:r>
              <w:rPr>
                <w:i/>
                <w:sz w:val="20"/>
                <w:szCs w:val="20"/>
                <w:vertAlign w:val="subscript"/>
              </w:rPr>
              <w:t>n</w:t>
            </w:r>
            <w:r>
              <w:rPr>
                <w:sz w:val="20"/>
                <w:szCs w:val="20"/>
              </w:rPr>
              <w:t>)</w:t>
            </w:r>
          </w:p>
        </w:tc>
        <w:tc>
          <w:tcPr>
            <w:tcW w:w="1350" w:type="dxa"/>
            <w:tcBorders>
              <w:top w:val="single" w:sz="4" w:space="0" w:color="000000"/>
              <w:bottom w:val="single" w:sz="4" w:space="0" w:color="000000"/>
            </w:tcBorders>
            <w:vAlign w:val="center"/>
          </w:tcPr>
          <w:p w14:paraId="55B6AEF2" w14:textId="77777777" w:rsidR="00274AC8" w:rsidRDefault="00127FD9">
            <w:pPr>
              <w:jc w:val="center"/>
              <w:rPr>
                <w:i/>
                <w:sz w:val="20"/>
                <w:szCs w:val="20"/>
              </w:rPr>
            </w:pPr>
            <w:r>
              <w:rPr>
                <w:i/>
                <w:sz w:val="20"/>
                <w:szCs w:val="20"/>
              </w:rPr>
              <w:t>α</w:t>
            </w:r>
            <w:r>
              <w:rPr>
                <w:i/>
                <w:sz w:val="20"/>
                <w:szCs w:val="20"/>
                <w:vertAlign w:val="subscript"/>
              </w:rPr>
              <w:t>n</w:t>
            </w:r>
          </w:p>
        </w:tc>
        <w:tc>
          <w:tcPr>
            <w:tcW w:w="1530" w:type="dxa"/>
            <w:tcBorders>
              <w:top w:val="single" w:sz="4" w:space="0" w:color="000000"/>
              <w:bottom w:val="single" w:sz="4" w:space="0" w:color="000000"/>
            </w:tcBorders>
            <w:vAlign w:val="center"/>
          </w:tcPr>
          <w:p w14:paraId="5C626390" w14:textId="77777777" w:rsidR="00274AC8" w:rsidRDefault="00127FD9">
            <w:pPr>
              <w:jc w:val="center"/>
              <w:rPr>
                <w:i/>
                <w:sz w:val="20"/>
                <w:szCs w:val="20"/>
              </w:rPr>
            </w:pPr>
            <w:r>
              <w:rPr>
                <w:i/>
                <w:sz w:val="20"/>
                <w:szCs w:val="20"/>
              </w:rPr>
              <w:t>β</w:t>
            </w:r>
            <w:r>
              <w:rPr>
                <w:i/>
                <w:sz w:val="20"/>
                <w:szCs w:val="20"/>
                <w:vertAlign w:val="subscript"/>
              </w:rPr>
              <w:t>n</w:t>
            </w:r>
          </w:p>
        </w:tc>
        <w:tc>
          <w:tcPr>
            <w:tcW w:w="1440" w:type="dxa"/>
            <w:tcBorders>
              <w:top w:val="single" w:sz="4" w:space="0" w:color="000000"/>
              <w:bottom w:val="single" w:sz="4" w:space="0" w:color="000000"/>
            </w:tcBorders>
            <w:vAlign w:val="center"/>
          </w:tcPr>
          <w:p w14:paraId="4592697F" w14:textId="77777777" w:rsidR="00274AC8" w:rsidRDefault="00000000">
            <w:pPr>
              <w:jc w:val="center"/>
              <w:rPr>
                <w:rFonts w:ascii="Cambria Math" w:eastAsia="Cambria Math" w:hAnsi="Cambria Math" w:cs="Cambria Math"/>
                <w:sz w:val="20"/>
                <w:szCs w:val="20"/>
              </w:rPr>
            </w:pPr>
            <m:oMathPara>
              <m:oMath>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C</m:t>
                    </m:r>
                  </m:e>
                  <m:sub>
                    <m:r>
                      <w:rPr>
                        <w:rFonts w:ascii="Cambria Math" w:eastAsia="Cambria Math" w:hAnsi="Cambria Math" w:cs="Cambria Math"/>
                        <w:sz w:val="20"/>
                        <w:szCs w:val="20"/>
                      </w:rPr>
                      <m:t>n</m:t>
                    </m:r>
                  </m:sub>
                  <m:sup>
                    <m:r>
                      <w:rPr>
                        <w:rFonts w:ascii="Cambria Math" w:eastAsia="Cambria Math" w:hAnsi="Cambria Math" w:cs="Cambria Math"/>
                        <w:sz w:val="20"/>
                        <w:szCs w:val="20"/>
                      </w:rPr>
                      <m:t>PM</m:t>
                    </m:r>
                  </m:sup>
                </m:sSubSup>
              </m:oMath>
            </m:oMathPara>
          </w:p>
        </w:tc>
      </w:tr>
      <w:tr w:rsidR="00274AC8" w14:paraId="6D452203" w14:textId="77777777">
        <w:trPr>
          <w:trHeight w:val="432"/>
          <w:jc w:val="center"/>
        </w:trPr>
        <w:tc>
          <w:tcPr>
            <w:tcW w:w="2430" w:type="dxa"/>
            <w:tcBorders>
              <w:top w:val="single" w:sz="4" w:space="0" w:color="000000"/>
              <w:bottom w:val="single" w:sz="4" w:space="0" w:color="000000"/>
            </w:tcBorders>
            <w:vAlign w:val="center"/>
          </w:tcPr>
          <w:p w14:paraId="4180C127" w14:textId="77777777" w:rsidR="00274AC8" w:rsidRDefault="00127FD9">
            <w:pPr>
              <w:rPr>
                <w:sz w:val="20"/>
                <w:szCs w:val="20"/>
              </w:rPr>
            </w:pPr>
            <w:r>
              <w:rPr>
                <w:sz w:val="20"/>
                <w:szCs w:val="20"/>
              </w:rPr>
              <w:t>Transmission System 2</w:t>
            </w:r>
          </w:p>
        </w:tc>
        <w:tc>
          <w:tcPr>
            <w:tcW w:w="1350" w:type="dxa"/>
            <w:tcBorders>
              <w:top w:val="single" w:sz="4" w:space="0" w:color="000000"/>
              <w:bottom w:val="single" w:sz="4" w:space="0" w:color="000000"/>
            </w:tcBorders>
            <w:vAlign w:val="center"/>
          </w:tcPr>
          <w:p w14:paraId="037ED920" w14:textId="77777777" w:rsidR="00274AC8" w:rsidRDefault="00127FD9">
            <w:pPr>
              <w:jc w:val="center"/>
              <w:rPr>
                <w:sz w:val="20"/>
                <w:szCs w:val="20"/>
              </w:rPr>
            </w:pPr>
            <w:r>
              <w:rPr>
                <w:sz w:val="20"/>
                <w:szCs w:val="20"/>
              </w:rPr>
              <w:t>2.0</w:t>
            </w:r>
          </w:p>
        </w:tc>
        <w:tc>
          <w:tcPr>
            <w:tcW w:w="1530" w:type="dxa"/>
            <w:tcBorders>
              <w:top w:val="single" w:sz="4" w:space="0" w:color="000000"/>
              <w:bottom w:val="single" w:sz="4" w:space="0" w:color="000000"/>
            </w:tcBorders>
            <w:vAlign w:val="center"/>
          </w:tcPr>
          <w:p w14:paraId="345C5FF1" w14:textId="77777777" w:rsidR="00274AC8" w:rsidRDefault="00127FD9">
            <w:pPr>
              <w:jc w:val="center"/>
              <w:rPr>
                <w:sz w:val="20"/>
                <w:szCs w:val="20"/>
              </w:rPr>
            </w:pPr>
            <w:r>
              <w:rPr>
                <w:sz w:val="20"/>
                <w:szCs w:val="20"/>
              </w:rPr>
              <w:t>1.5</w:t>
            </w:r>
          </w:p>
        </w:tc>
        <w:tc>
          <w:tcPr>
            <w:tcW w:w="1440" w:type="dxa"/>
            <w:tcBorders>
              <w:top w:val="single" w:sz="4" w:space="0" w:color="000000"/>
              <w:bottom w:val="single" w:sz="4" w:space="0" w:color="000000"/>
            </w:tcBorders>
            <w:vAlign w:val="center"/>
          </w:tcPr>
          <w:p w14:paraId="56D966AF" w14:textId="77777777" w:rsidR="00274AC8" w:rsidRDefault="00127FD9">
            <w:pPr>
              <w:jc w:val="center"/>
              <w:rPr>
                <w:sz w:val="20"/>
                <w:szCs w:val="20"/>
              </w:rPr>
            </w:pPr>
            <w:r>
              <w:rPr>
                <w:sz w:val="20"/>
                <w:szCs w:val="20"/>
              </w:rPr>
              <w:t>7.5</w:t>
            </w:r>
          </w:p>
        </w:tc>
      </w:tr>
      <w:tr w:rsidR="00274AC8" w14:paraId="34BC73CC" w14:textId="77777777">
        <w:trPr>
          <w:trHeight w:val="432"/>
          <w:jc w:val="center"/>
        </w:trPr>
        <w:tc>
          <w:tcPr>
            <w:tcW w:w="2430" w:type="dxa"/>
            <w:tcBorders>
              <w:top w:val="single" w:sz="4" w:space="0" w:color="000000"/>
              <w:bottom w:val="single" w:sz="4" w:space="0" w:color="000000"/>
            </w:tcBorders>
            <w:vAlign w:val="center"/>
          </w:tcPr>
          <w:p w14:paraId="1036B026" w14:textId="77777777" w:rsidR="00274AC8" w:rsidRDefault="00127FD9">
            <w:pPr>
              <w:rPr>
                <w:sz w:val="20"/>
                <w:szCs w:val="20"/>
              </w:rPr>
            </w:pPr>
            <w:r>
              <w:rPr>
                <w:sz w:val="20"/>
                <w:szCs w:val="20"/>
              </w:rPr>
              <w:t>Distribution Company 1</w:t>
            </w:r>
          </w:p>
        </w:tc>
        <w:tc>
          <w:tcPr>
            <w:tcW w:w="1350" w:type="dxa"/>
            <w:tcBorders>
              <w:top w:val="single" w:sz="4" w:space="0" w:color="000000"/>
              <w:bottom w:val="single" w:sz="4" w:space="0" w:color="000000"/>
            </w:tcBorders>
            <w:vAlign w:val="center"/>
          </w:tcPr>
          <w:p w14:paraId="1D105A61" w14:textId="77777777" w:rsidR="00274AC8" w:rsidRDefault="00127FD9">
            <w:pPr>
              <w:jc w:val="center"/>
              <w:rPr>
                <w:sz w:val="20"/>
                <w:szCs w:val="20"/>
              </w:rPr>
            </w:pPr>
            <w:r>
              <w:rPr>
                <w:sz w:val="20"/>
                <w:szCs w:val="20"/>
              </w:rPr>
              <w:t>1.2</w:t>
            </w:r>
          </w:p>
        </w:tc>
        <w:tc>
          <w:tcPr>
            <w:tcW w:w="1530" w:type="dxa"/>
            <w:tcBorders>
              <w:top w:val="single" w:sz="4" w:space="0" w:color="000000"/>
              <w:bottom w:val="single" w:sz="4" w:space="0" w:color="000000"/>
            </w:tcBorders>
            <w:vAlign w:val="center"/>
          </w:tcPr>
          <w:p w14:paraId="1767F409" w14:textId="77777777" w:rsidR="00274AC8" w:rsidRDefault="00127FD9">
            <w:pPr>
              <w:jc w:val="center"/>
              <w:rPr>
                <w:sz w:val="20"/>
                <w:szCs w:val="20"/>
              </w:rPr>
            </w:pPr>
            <w:r>
              <w:rPr>
                <w:sz w:val="20"/>
                <w:szCs w:val="20"/>
              </w:rPr>
              <w:t>1.75</w:t>
            </w:r>
          </w:p>
        </w:tc>
        <w:tc>
          <w:tcPr>
            <w:tcW w:w="1440" w:type="dxa"/>
            <w:tcBorders>
              <w:top w:val="single" w:sz="4" w:space="0" w:color="000000"/>
              <w:bottom w:val="single" w:sz="4" w:space="0" w:color="000000"/>
            </w:tcBorders>
            <w:vAlign w:val="center"/>
          </w:tcPr>
          <w:p w14:paraId="0A09CAF9" w14:textId="77777777" w:rsidR="00274AC8" w:rsidRDefault="00127FD9">
            <w:pPr>
              <w:jc w:val="center"/>
              <w:rPr>
                <w:sz w:val="20"/>
                <w:szCs w:val="20"/>
              </w:rPr>
            </w:pPr>
            <w:r>
              <w:rPr>
                <w:sz w:val="20"/>
                <w:szCs w:val="20"/>
              </w:rPr>
              <w:t>8.0</w:t>
            </w:r>
          </w:p>
        </w:tc>
      </w:tr>
      <w:tr w:rsidR="00274AC8" w14:paraId="53FA30F5" w14:textId="77777777">
        <w:trPr>
          <w:trHeight w:val="432"/>
          <w:jc w:val="center"/>
        </w:trPr>
        <w:tc>
          <w:tcPr>
            <w:tcW w:w="2430" w:type="dxa"/>
            <w:tcBorders>
              <w:top w:val="single" w:sz="4" w:space="0" w:color="000000"/>
              <w:bottom w:val="single" w:sz="4" w:space="0" w:color="000000"/>
            </w:tcBorders>
            <w:vAlign w:val="center"/>
          </w:tcPr>
          <w:p w14:paraId="3CB31B92" w14:textId="77777777" w:rsidR="00274AC8" w:rsidRDefault="00127FD9">
            <w:pPr>
              <w:rPr>
                <w:sz w:val="20"/>
                <w:szCs w:val="20"/>
              </w:rPr>
            </w:pPr>
            <w:r>
              <w:rPr>
                <w:sz w:val="20"/>
                <w:szCs w:val="20"/>
              </w:rPr>
              <w:t>Distribution Company 2</w:t>
            </w:r>
          </w:p>
        </w:tc>
        <w:tc>
          <w:tcPr>
            <w:tcW w:w="1350" w:type="dxa"/>
            <w:tcBorders>
              <w:top w:val="single" w:sz="4" w:space="0" w:color="000000"/>
              <w:bottom w:val="single" w:sz="4" w:space="0" w:color="000000"/>
            </w:tcBorders>
            <w:vAlign w:val="center"/>
          </w:tcPr>
          <w:p w14:paraId="3E358E4D" w14:textId="77777777" w:rsidR="00274AC8" w:rsidRDefault="00127FD9">
            <w:pPr>
              <w:jc w:val="center"/>
              <w:rPr>
                <w:sz w:val="20"/>
                <w:szCs w:val="20"/>
              </w:rPr>
            </w:pPr>
            <w:r>
              <w:rPr>
                <w:sz w:val="20"/>
                <w:szCs w:val="20"/>
              </w:rPr>
              <w:t>1.0</w:t>
            </w:r>
          </w:p>
        </w:tc>
        <w:tc>
          <w:tcPr>
            <w:tcW w:w="1530" w:type="dxa"/>
            <w:tcBorders>
              <w:top w:val="single" w:sz="4" w:space="0" w:color="000000"/>
              <w:bottom w:val="single" w:sz="4" w:space="0" w:color="000000"/>
            </w:tcBorders>
            <w:vAlign w:val="center"/>
          </w:tcPr>
          <w:p w14:paraId="27A0E6C8" w14:textId="77777777" w:rsidR="00274AC8" w:rsidRDefault="00127FD9">
            <w:pPr>
              <w:jc w:val="center"/>
              <w:rPr>
                <w:sz w:val="20"/>
                <w:szCs w:val="20"/>
              </w:rPr>
            </w:pPr>
            <w:r>
              <w:rPr>
                <w:sz w:val="20"/>
                <w:szCs w:val="20"/>
              </w:rPr>
              <w:t>1.75</w:t>
            </w:r>
          </w:p>
        </w:tc>
        <w:tc>
          <w:tcPr>
            <w:tcW w:w="1440" w:type="dxa"/>
            <w:tcBorders>
              <w:top w:val="single" w:sz="4" w:space="0" w:color="000000"/>
              <w:bottom w:val="single" w:sz="4" w:space="0" w:color="000000"/>
            </w:tcBorders>
            <w:vAlign w:val="center"/>
          </w:tcPr>
          <w:p w14:paraId="62C25315" w14:textId="77777777" w:rsidR="00274AC8" w:rsidRDefault="00127FD9">
            <w:pPr>
              <w:jc w:val="center"/>
              <w:rPr>
                <w:sz w:val="20"/>
                <w:szCs w:val="20"/>
              </w:rPr>
            </w:pPr>
            <w:r>
              <w:rPr>
                <w:sz w:val="20"/>
                <w:szCs w:val="20"/>
              </w:rPr>
              <w:t>12.0</w:t>
            </w:r>
          </w:p>
        </w:tc>
      </w:tr>
      <w:tr w:rsidR="00274AC8" w14:paraId="05AE4901" w14:textId="77777777">
        <w:trPr>
          <w:trHeight w:val="432"/>
          <w:jc w:val="center"/>
        </w:trPr>
        <w:tc>
          <w:tcPr>
            <w:tcW w:w="2430" w:type="dxa"/>
            <w:tcBorders>
              <w:top w:val="single" w:sz="4" w:space="0" w:color="000000"/>
              <w:bottom w:val="single" w:sz="4" w:space="0" w:color="000000"/>
            </w:tcBorders>
            <w:vAlign w:val="center"/>
          </w:tcPr>
          <w:p w14:paraId="40350929" w14:textId="77777777" w:rsidR="00274AC8" w:rsidRDefault="00127FD9">
            <w:pPr>
              <w:rPr>
                <w:sz w:val="20"/>
                <w:szCs w:val="20"/>
              </w:rPr>
            </w:pPr>
            <w:r>
              <w:rPr>
                <w:sz w:val="20"/>
                <w:szCs w:val="20"/>
              </w:rPr>
              <w:t>Distribution Company 3</w:t>
            </w:r>
          </w:p>
        </w:tc>
        <w:tc>
          <w:tcPr>
            <w:tcW w:w="1350" w:type="dxa"/>
            <w:tcBorders>
              <w:top w:val="single" w:sz="4" w:space="0" w:color="000000"/>
              <w:bottom w:val="single" w:sz="4" w:space="0" w:color="000000"/>
            </w:tcBorders>
            <w:vAlign w:val="center"/>
          </w:tcPr>
          <w:p w14:paraId="4DAD41C9" w14:textId="77777777" w:rsidR="00274AC8" w:rsidRDefault="00127FD9">
            <w:pPr>
              <w:jc w:val="center"/>
              <w:rPr>
                <w:sz w:val="20"/>
                <w:szCs w:val="20"/>
              </w:rPr>
            </w:pPr>
            <w:r>
              <w:rPr>
                <w:sz w:val="20"/>
                <w:szCs w:val="20"/>
              </w:rPr>
              <w:t>1.3</w:t>
            </w:r>
          </w:p>
        </w:tc>
        <w:tc>
          <w:tcPr>
            <w:tcW w:w="1530" w:type="dxa"/>
            <w:tcBorders>
              <w:top w:val="single" w:sz="4" w:space="0" w:color="000000"/>
              <w:bottom w:val="single" w:sz="4" w:space="0" w:color="000000"/>
            </w:tcBorders>
            <w:vAlign w:val="center"/>
          </w:tcPr>
          <w:p w14:paraId="0AC19856" w14:textId="77777777" w:rsidR="00274AC8" w:rsidRDefault="00127FD9">
            <w:pPr>
              <w:jc w:val="center"/>
              <w:rPr>
                <w:sz w:val="20"/>
                <w:szCs w:val="20"/>
              </w:rPr>
            </w:pPr>
            <w:r>
              <w:rPr>
                <w:sz w:val="20"/>
                <w:szCs w:val="20"/>
              </w:rPr>
              <w:t>1.75</w:t>
            </w:r>
          </w:p>
        </w:tc>
        <w:tc>
          <w:tcPr>
            <w:tcW w:w="1440" w:type="dxa"/>
            <w:tcBorders>
              <w:top w:val="single" w:sz="4" w:space="0" w:color="000000"/>
              <w:bottom w:val="single" w:sz="4" w:space="0" w:color="000000"/>
            </w:tcBorders>
            <w:vAlign w:val="center"/>
          </w:tcPr>
          <w:p w14:paraId="3FFDC654" w14:textId="77777777" w:rsidR="00274AC8" w:rsidRDefault="00127FD9">
            <w:pPr>
              <w:jc w:val="center"/>
              <w:rPr>
                <w:sz w:val="20"/>
                <w:szCs w:val="20"/>
              </w:rPr>
            </w:pPr>
            <w:r>
              <w:rPr>
                <w:sz w:val="20"/>
                <w:szCs w:val="20"/>
              </w:rPr>
              <w:t>10.5</w:t>
            </w:r>
          </w:p>
        </w:tc>
      </w:tr>
    </w:tbl>
    <w:p w14:paraId="0A335F98" w14:textId="77777777" w:rsidR="00274AC8" w:rsidRDefault="00274AC8">
      <w:pPr>
        <w:jc w:val="both"/>
        <w:rPr>
          <w:sz w:val="20"/>
          <w:szCs w:val="20"/>
        </w:rPr>
      </w:pPr>
    </w:p>
    <w:p w14:paraId="6FE6EE7B" w14:textId="77777777" w:rsidR="00274AC8" w:rsidRDefault="00127FD9">
      <w:pPr>
        <w:jc w:val="both"/>
        <w:rPr>
          <w:sz w:val="20"/>
          <w:szCs w:val="20"/>
        </w:rPr>
      </w:pPr>
      <w:r>
        <w:rPr>
          <w:sz w:val="20"/>
          <w:szCs w:val="20"/>
        </w:rPr>
        <w:t>This is an example paragraph to demonstrate the guidelines for the table (above) and figure (below).</w:t>
      </w:r>
    </w:p>
    <w:p w14:paraId="0957E198" w14:textId="77777777" w:rsidR="00274AC8" w:rsidRDefault="00274AC8">
      <w:pPr>
        <w:jc w:val="both"/>
        <w:rPr>
          <w:sz w:val="20"/>
          <w:szCs w:val="20"/>
        </w:rPr>
      </w:pPr>
    </w:p>
    <w:p w14:paraId="0B762FE8" w14:textId="77777777" w:rsidR="00274AC8" w:rsidRDefault="00127FD9">
      <w:pPr>
        <w:jc w:val="center"/>
      </w:pPr>
      <w:r>
        <w:rPr>
          <w:noProof/>
        </w:rPr>
        <w:drawing>
          <wp:inline distT="0" distB="0" distL="0" distR="0" wp14:anchorId="4E7AF35E" wp14:editId="4ECCDBD8">
            <wp:extent cx="4539967" cy="389147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screen">
                      <a:extLst>
                        <a:ext uri="{28A0092B-C50C-407E-A947-70E740481C1C}">
                          <a14:useLocalDpi xmlns:a14="http://schemas.microsoft.com/office/drawing/2010/main"/>
                        </a:ext>
                      </a:extLst>
                    </a:blip>
                    <a:srcRect/>
                    <a:stretch>
                      <a:fillRect/>
                    </a:stretch>
                  </pic:blipFill>
                  <pic:spPr>
                    <a:xfrm>
                      <a:off x="0" y="0"/>
                      <a:ext cx="4539967" cy="3891470"/>
                    </a:xfrm>
                    <a:prstGeom prst="rect">
                      <a:avLst/>
                    </a:prstGeom>
                    <a:ln/>
                  </pic:spPr>
                </pic:pic>
              </a:graphicData>
            </a:graphic>
          </wp:inline>
        </w:drawing>
      </w:r>
    </w:p>
    <w:p w14:paraId="501886C9" w14:textId="77777777" w:rsidR="00274AC8" w:rsidRDefault="00274AC8">
      <w:pPr>
        <w:jc w:val="center"/>
        <w:rPr>
          <w:sz w:val="20"/>
          <w:szCs w:val="20"/>
        </w:rPr>
      </w:pPr>
    </w:p>
    <w:p w14:paraId="57F7AD00" w14:textId="77C3C0D0" w:rsidR="00274AC8" w:rsidRDefault="00127FD9">
      <w:pPr>
        <w:jc w:val="both"/>
        <w:rPr>
          <w:sz w:val="20"/>
          <w:szCs w:val="20"/>
        </w:rPr>
      </w:pPr>
      <w:r w:rsidRPr="006F51B0">
        <w:rPr>
          <w:bCs/>
          <w:sz w:val="20"/>
          <w:szCs w:val="20"/>
        </w:rPr>
        <w:t>Figure 1:</w:t>
      </w:r>
      <w:r w:rsidR="00E81A69" w:rsidRPr="006F51B0">
        <w:rPr>
          <w:bCs/>
          <w:sz w:val="20"/>
          <w:szCs w:val="20"/>
        </w:rPr>
        <w:t xml:space="preserve"> </w:t>
      </w:r>
      <w:r w:rsidRPr="006F51B0">
        <w:rPr>
          <w:bCs/>
          <w:sz w:val="20"/>
          <w:szCs w:val="20"/>
        </w:rPr>
        <w:t xml:space="preserve"> Example</w:t>
      </w:r>
      <w:r>
        <w:rPr>
          <w:sz w:val="20"/>
          <w:szCs w:val="20"/>
        </w:rPr>
        <w:t xml:space="preserve"> figure demonstrating </w:t>
      </w:r>
      <w:r>
        <w:rPr>
          <w:b/>
          <w:sz w:val="20"/>
          <w:szCs w:val="20"/>
        </w:rPr>
        <w:t>(a, b)</w:t>
      </w:r>
      <w:r>
        <w:rPr>
          <w:sz w:val="20"/>
          <w:szCs w:val="20"/>
        </w:rPr>
        <w:t xml:space="preserve"> the concept of ultrasound-assisted 3D-biofabrication process, and </w:t>
      </w:r>
      <w:r>
        <w:rPr>
          <w:b/>
          <w:sz w:val="20"/>
          <w:szCs w:val="20"/>
        </w:rPr>
        <w:t>(c, d)</w:t>
      </w:r>
      <w:r>
        <w:rPr>
          <w:sz w:val="20"/>
          <w:szCs w:val="20"/>
        </w:rPr>
        <w:t xml:space="preserve"> experimental results with aligned cells. A figure could include a single or multiple schematics, line and CAD drawings, photos, graphs etc. arranged in a concise layout. Labels within the figure should be legible. </w:t>
      </w:r>
      <w:r w:rsidR="002C4970">
        <w:rPr>
          <w:sz w:val="20"/>
          <w:szCs w:val="20"/>
        </w:rPr>
        <w:t>Paragraph text and c</w:t>
      </w:r>
      <w:r>
        <w:rPr>
          <w:sz w:val="20"/>
          <w:szCs w:val="20"/>
        </w:rPr>
        <w:t>aptions should not be wrapped around the figure.</w:t>
      </w:r>
    </w:p>
    <w:p w14:paraId="53B4CCFD" w14:textId="77777777" w:rsidR="00274AC8" w:rsidRDefault="00274AC8">
      <w:pPr>
        <w:jc w:val="both"/>
        <w:rPr>
          <w:sz w:val="20"/>
          <w:szCs w:val="20"/>
        </w:rPr>
      </w:pPr>
    </w:p>
    <w:p w14:paraId="5A28E6A4" w14:textId="77777777" w:rsidR="00274AC8" w:rsidRDefault="00127FD9" w:rsidP="00B71BF1">
      <w:pPr>
        <w:pStyle w:val="Heading2"/>
      </w:pPr>
      <w:r>
        <w:t>5. Equations</w:t>
      </w:r>
    </w:p>
    <w:p w14:paraId="6E250E85" w14:textId="6B149315" w:rsidR="00274AC8" w:rsidRDefault="00127FD9">
      <w:pPr>
        <w:jc w:val="both"/>
        <w:rPr>
          <w:sz w:val="20"/>
          <w:szCs w:val="20"/>
        </w:rPr>
      </w:pPr>
      <w:r>
        <w:rPr>
          <w:sz w:val="20"/>
          <w:szCs w:val="20"/>
        </w:rPr>
        <w:t>Equations should be centered and numbered</w:t>
      </w:r>
      <w:r w:rsidR="002C4970">
        <w:rPr>
          <w:sz w:val="20"/>
          <w:szCs w:val="20"/>
        </w:rPr>
        <w:t xml:space="preserve"> in order of appearance.  Place the </w:t>
      </w:r>
      <w:r>
        <w:rPr>
          <w:sz w:val="20"/>
          <w:szCs w:val="20"/>
        </w:rPr>
        <w:t xml:space="preserve">equation number in parentheses, positioned flush to the right margin. </w:t>
      </w:r>
      <w:r w:rsidR="002C4970">
        <w:rPr>
          <w:sz w:val="20"/>
          <w:szCs w:val="20"/>
        </w:rPr>
        <w:t xml:space="preserve">Prepare equations with </w:t>
      </w:r>
      <w:r>
        <w:rPr>
          <w:sz w:val="20"/>
          <w:szCs w:val="20"/>
        </w:rPr>
        <w:t xml:space="preserve">an Equation Writer; screenshots </w:t>
      </w:r>
      <w:r w:rsidR="002C4970">
        <w:rPr>
          <w:sz w:val="20"/>
          <w:szCs w:val="20"/>
        </w:rPr>
        <w:t>of equation</w:t>
      </w:r>
      <w:r w:rsidR="009E6100">
        <w:rPr>
          <w:sz w:val="20"/>
          <w:szCs w:val="20"/>
        </w:rPr>
        <w:t>s</w:t>
      </w:r>
      <w:r w:rsidR="002C4970">
        <w:rPr>
          <w:sz w:val="20"/>
          <w:szCs w:val="20"/>
        </w:rPr>
        <w:t xml:space="preserve"> </w:t>
      </w:r>
      <w:r>
        <w:rPr>
          <w:sz w:val="20"/>
          <w:szCs w:val="20"/>
        </w:rPr>
        <w:t>should not be used. Leave one line before and after every equation. See Equation (1) below as an example.</w:t>
      </w:r>
    </w:p>
    <w:p w14:paraId="1EAB0891" w14:textId="77777777" w:rsidR="00274AC8" w:rsidRDefault="00274AC8">
      <w:pPr>
        <w:jc w:val="both"/>
        <w:rPr>
          <w:sz w:val="20"/>
          <w:szCs w:val="20"/>
        </w:rPr>
      </w:pPr>
    </w:p>
    <w:p w14:paraId="22746D15" w14:textId="77777777" w:rsidR="00274AC8" w:rsidRDefault="00000000">
      <w:pPr>
        <w:pBdr>
          <w:top w:val="none" w:sz="0" w:space="0" w:color="000000"/>
          <w:left w:val="none" w:sz="0" w:space="0" w:color="000000"/>
          <w:bottom w:val="none" w:sz="0" w:space="0" w:color="000000"/>
          <w:right w:val="none" w:sz="0" w:space="0" w:color="000000"/>
          <w:between w:val="none" w:sz="0" w:space="0" w:color="000000"/>
        </w:pBdr>
        <w:spacing w:line="264" w:lineRule="auto"/>
        <w:jc w:val="right"/>
        <w:rPr>
          <w:rFonts w:ascii="Cambria Math" w:eastAsia="Cambria Math" w:hAnsi="Cambria Math" w:cs="Cambria Math"/>
          <w:color w:val="000000"/>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t</m:t>
            </m:r>
          </m:e>
          <m:sub>
            <m:r>
              <w:rPr>
                <w:rFonts w:ascii="Cambria Math" w:eastAsia="Cambria Math" w:hAnsi="Cambria Math" w:cs="Cambria Math"/>
                <w:color w:val="000000"/>
                <w:sz w:val="20"/>
                <w:szCs w:val="20"/>
              </w:rPr>
              <m:t>align</m:t>
            </m:r>
          </m:sub>
        </m:sSub>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9λη</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ρ</m:t>
                </m:r>
              </m:e>
              <m:sub>
                <m:r>
                  <w:rPr>
                    <w:rFonts w:ascii="Cambria Math" w:eastAsia="Cambria Math" w:hAnsi="Cambria Math" w:cs="Cambria Math"/>
                    <w:color w:val="000000"/>
                    <w:sz w:val="20"/>
                    <w:szCs w:val="20"/>
                  </w:rPr>
                  <m:t>a</m:t>
                </m:r>
              </m:sub>
            </m:sSub>
          </m:num>
          <m:den>
            <m:r>
              <w:rPr>
                <w:rFonts w:ascii="Cambria Math" w:eastAsia="Cambria Math" w:hAnsi="Cambria Math" w:cs="Cambria Math"/>
                <w:color w:val="000000"/>
                <w:sz w:val="20"/>
                <w:szCs w:val="20"/>
              </w:rPr>
              <m:t>2πk</m:t>
            </m:r>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r</m:t>
                </m:r>
              </m:e>
              <m:sup>
                <m:r>
                  <w:rPr>
                    <w:rFonts w:ascii="Cambria Math" w:eastAsia="Cambria Math" w:hAnsi="Cambria Math" w:cs="Cambria Math"/>
                    <w:color w:val="000000"/>
                    <w:sz w:val="20"/>
                    <w:szCs w:val="20"/>
                  </w:rPr>
                  <m:t>2</m:t>
                </m:r>
              </m:sup>
            </m:sSup>
            <m:r>
              <w:rPr>
                <w:rFonts w:ascii="Cambria Math" w:eastAsia="Cambria Math" w:hAnsi="Cambria Math" w:cs="Cambria Math"/>
                <w:color w:val="000000"/>
                <w:sz w:val="20"/>
                <w:szCs w:val="20"/>
              </w:rPr>
              <m:t>Φ</m:t>
            </m:r>
          </m:den>
        </m:f>
        <m:box>
          <m:boxPr>
            <m:opEmu m:val="1"/>
            <m:ctrlPr>
              <w:rPr>
                <w:rFonts w:ascii="Cambria Math" w:eastAsia="Cambria Math" w:hAnsi="Cambria Math" w:cs="Cambria Math"/>
                <w:color w:val="000000"/>
                <w:sz w:val="20"/>
                <w:szCs w:val="20"/>
              </w:rPr>
            </m:ctrlPr>
          </m:boxPr>
          <m:e>
            <m:r>
              <w:rPr>
                <w:rFonts w:ascii="Cambria Math" w:eastAsia="Cambria Math" w:hAnsi="Cambria Math" w:cs="Cambria Math"/>
                <w:color w:val="000000"/>
                <w:sz w:val="20"/>
                <w:szCs w:val="20"/>
              </w:rPr>
              <m:t>ln</m:t>
            </m:r>
          </m:e>
        </m:box>
        <m:r>
          <w:rPr>
            <w:rFonts w:ascii="Cambria Math" w:eastAsia="Cambria Math" w:hAnsi="Cambria Math" w:cs="Cambria Math"/>
            <w:color w:val="000000"/>
            <w:sz w:val="20"/>
            <w:szCs w:val="20"/>
          </w:rPr>
          <m:t>ln</m:t>
        </m:r>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tan</m:t>
                    </m:r>
                  </m:e>
                </m:box>
                <m:r>
                  <w:rPr>
                    <w:rFonts w:ascii="Cambria Math" w:eastAsia="Cambria Math" w:hAnsi="Cambria Math" w:cs="Cambria Math"/>
                    <w:color w:val="000000"/>
                    <w:sz w:val="20"/>
                    <w:szCs w:val="20"/>
                  </w:rPr>
                  <m:t>tan</m:t>
                </m:r>
                <m:r>
                  <w:rPr>
                    <w:rFonts w:ascii="Cambria Math" w:eastAsia="Cambria Math" w:hAnsi="Cambria Math" w:cs="Cambria Math"/>
                    <w:color w:val="000000"/>
                  </w:rPr>
                  <m:t xml:space="preserve"> </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k</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0</m:t>
                        </m:r>
                      </m:sub>
                    </m:sSub>
                  </m:e>
                </m:d>
                <m:r>
                  <w:rPr>
                    <w:rFonts w:ascii="Cambria Math" w:eastAsia="Cambria Math" w:hAnsi="Cambria Math" w:cs="Cambria Math"/>
                    <w:color w:val="000000"/>
                  </w:rPr>
                  <m:t xml:space="preserve"> </m:t>
                </m:r>
              </m:num>
              <m:den>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tan</m:t>
                    </m:r>
                  </m:e>
                </m:box>
                <m:r>
                  <w:rPr>
                    <w:rFonts w:ascii="Cambria Math" w:eastAsia="Cambria Math" w:hAnsi="Cambria Math" w:cs="Cambria Math"/>
                    <w:color w:val="000000"/>
                    <w:sz w:val="20"/>
                    <w:szCs w:val="20"/>
                  </w:rPr>
                  <m:t>tan</m:t>
                </m:r>
                <m:r>
                  <w:rPr>
                    <w:rFonts w:ascii="Cambria Math" w:eastAsia="Cambria Math" w:hAnsi="Cambria Math" w:cs="Cambria Math"/>
                    <w:color w:val="000000"/>
                  </w:rPr>
                  <m:t xml:space="preserve"> </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k</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f</m:t>
                        </m:r>
                      </m:sub>
                    </m:sSub>
                  </m:e>
                </m:d>
                <m:r>
                  <w:rPr>
                    <w:rFonts w:ascii="Cambria Math" w:eastAsia="Cambria Math" w:hAnsi="Cambria Math" w:cs="Cambria Math"/>
                    <w:color w:val="000000"/>
                  </w:rPr>
                  <m:t xml:space="preserve"> </m:t>
                </m:r>
              </m:den>
            </m:f>
          </m:e>
        </m:d>
        <m:r>
          <w:rPr>
            <w:rFonts w:ascii="Cambria Math" w:eastAsia="Cambria Math" w:hAnsi="Cambria Math" w:cs="Cambria Math"/>
            <w:color w:val="000000"/>
          </w:rPr>
          <m:t xml:space="preserve"> </m:t>
        </m:r>
      </m:oMath>
      <w:r w:rsidR="00127FD9">
        <w:rPr>
          <w:rFonts w:ascii="Cambria Math" w:eastAsia="Cambria Math" w:hAnsi="Cambria Math" w:cs="Cambria Math"/>
          <w:color w:val="000000"/>
          <w:sz w:val="20"/>
          <w:szCs w:val="20"/>
        </w:rPr>
        <w:t xml:space="preserve"> </w:t>
      </w:r>
      <w:r w:rsidR="00127FD9">
        <w:rPr>
          <w:rFonts w:ascii="Cambria Math" w:eastAsia="Cambria Math" w:hAnsi="Cambria Math" w:cs="Cambria Math"/>
          <w:color w:val="000000"/>
          <w:sz w:val="20"/>
          <w:szCs w:val="20"/>
        </w:rPr>
        <w:tab/>
      </w:r>
      <w:r w:rsidR="00127FD9">
        <w:rPr>
          <w:rFonts w:ascii="Cambria Math" w:eastAsia="Cambria Math" w:hAnsi="Cambria Math" w:cs="Cambria Math"/>
          <w:color w:val="000000"/>
          <w:sz w:val="20"/>
          <w:szCs w:val="20"/>
        </w:rPr>
        <w:tab/>
      </w:r>
      <w:r w:rsidR="00127FD9">
        <w:rPr>
          <w:rFonts w:ascii="Cambria Math" w:eastAsia="Cambria Math" w:hAnsi="Cambria Math" w:cs="Cambria Math"/>
          <w:color w:val="000000"/>
          <w:sz w:val="20"/>
          <w:szCs w:val="20"/>
        </w:rPr>
        <w:tab/>
      </w:r>
      <w:r w:rsidR="00127FD9">
        <w:rPr>
          <w:rFonts w:ascii="Cambria Math" w:eastAsia="Cambria Math" w:hAnsi="Cambria Math" w:cs="Cambria Math"/>
          <w:color w:val="000000"/>
          <w:sz w:val="20"/>
          <w:szCs w:val="20"/>
        </w:rPr>
        <w:tab/>
      </w:r>
      <w:r w:rsidR="00127FD9">
        <w:rPr>
          <w:rFonts w:ascii="Cambria Math" w:eastAsia="Cambria Math" w:hAnsi="Cambria Math" w:cs="Cambria Math"/>
          <w:color w:val="000000"/>
          <w:sz w:val="20"/>
          <w:szCs w:val="20"/>
        </w:rPr>
        <w:tab/>
        <w:t>(1)</w:t>
      </w:r>
    </w:p>
    <w:p w14:paraId="67898044" w14:textId="128E9466" w:rsidR="00274AC8" w:rsidRDefault="00274AC8">
      <w:pPr>
        <w:jc w:val="both"/>
        <w:rPr>
          <w:b/>
          <w:sz w:val="20"/>
          <w:szCs w:val="20"/>
        </w:rPr>
      </w:pPr>
    </w:p>
    <w:p w14:paraId="5B82A33E" w14:textId="092FB668" w:rsidR="002C1999" w:rsidRPr="00D714DC" w:rsidRDefault="002C1999" w:rsidP="002C1999">
      <w:pPr>
        <w:pStyle w:val="Heading2"/>
      </w:pPr>
      <w:r>
        <w:t>Acknowledgements</w:t>
      </w:r>
    </w:p>
    <w:p w14:paraId="02DFB72B" w14:textId="58A9CF3A" w:rsidR="002C1999" w:rsidRDefault="002C1999">
      <w:pPr>
        <w:jc w:val="both"/>
        <w:rPr>
          <w:sz w:val="20"/>
          <w:szCs w:val="20"/>
        </w:rPr>
      </w:pPr>
      <w:r w:rsidRPr="002C1999">
        <w:rPr>
          <w:sz w:val="20"/>
          <w:szCs w:val="20"/>
        </w:rPr>
        <w:t xml:space="preserve">Acknowledgement of funding support and/or any other kind of assistance should be contained in an </w:t>
      </w:r>
      <w:r>
        <w:rPr>
          <w:sz w:val="20"/>
          <w:szCs w:val="20"/>
        </w:rPr>
        <w:t>“</w:t>
      </w:r>
      <w:r w:rsidRPr="002C1999">
        <w:rPr>
          <w:sz w:val="20"/>
          <w:szCs w:val="20"/>
        </w:rPr>
        <w:t>Acknowledgements</w:t>
      </w:r>
      <w:r>
        <w:rPr>
          <w:sz w:val="20"/>
          <w:szCs w:val="20"/>
        </w:rPr>
        <w:t>” s</w:t>
      </w:r>
      <w:r w:rsidRPr="002C1999">
        <w:rPr>
          <w:sz w:val="20"/>
          <w:szCs w:val="20"/>
        </w:rPr>
        <w:t xml:space="preserve">ection (this section should have no section number), located immediately before the </w:t>
      </w:r>
      <w:r>
        <w:rPr>
          <w:sz w:val="20"/>
          <w:szCs w:val="20"/>
        </w:rPr>
        <w:t>“</w:t>
      </w:r>
      <w:r w:rsidRPr="002C1999">
        <w:rPr>
          <w:sz w:val="20"/>
          <w:szCs w:val="20"/>
        </w:rPr>
        <w:t>References and Citations</w:t>
      </w:r>
      <w:r>
        <w:rPr>
          <w:sz w:val="20"/>
          <w:szCs w:val="20"/>
        </w:rPr>
        <w:t xml:space="preserve">” </w:t>
      </w:r>
      <w:r w:rsidRPr="002C1999">
        <w:rPr>
          <w:sz w:val="20"/>
          <w:szCs w:val="20"/>
        </w:rPr>
        <w:t>section.</w:t>
      </w:r>
    </w:p>
    <w:p w14:paraId="20D7640B" w14:textId="77777777" w:rsidR="002C1999" w:rsidRDefault="002C1999">
      <w:pPr>
        <w:jc w:val="both"/>
        <w:rPr>
          <w:b/>
          <w:sz w:val="20"/>
          <w:szCs w:val="20"/>
        </w:rPr>
      </w:pPr>
    </w:p>
    <w:p w14:paraId="3DBB9153" w14:textId="086EDC10" w:rsidR="00D714DC" w:rsidRPr="00D714DC" w:rsidRDefault="00D714DC" w:rsidP="00B71BF1">
      <w:pPr>
        <w:pStyle w:val="Heading2"/>
      </w:pPr>
      <w:r w:rsidRPr="00D714DC">
        <w:t xml:space="preserve">References and Citations </w:t>
      </w:r>
    </w:p>
    <w:p w14:paraId="5FC30141" w14:textId="3FF3FA60" w:rsidR="00D714DC" w:rsidRDefault="00D714DC" w:rsidP="00D714DC">
      <w:pPr>
        <w:jc w:val="both"/>
        <w:rPr>
          <w:sz w:val="20"/>
          <w:szCs w:val="20"/>
        </w:rPr>
      </w:pPr>
      <w:r>
        <w:rPr>
          <w:sz w:val="20"/>
          <w:szCs w:val="20"/>
        </w:rPr>
        <w:t>The IEEE style [1] should be followed for references and citations for each manuscript submitted to the IISE Annual Conference. In brief, references are numbered sequentially by order of occurrence (not alphabetically) in the text and listed in a separate section labeled References (no section number) at the end of the manuscript. Within the text, they should be cited by the corresponding list number in square brackets [1]. When referring to two references, use this format [2, 3]. If you refer to more than two documents listed consecutively, use this format [2-4]. The following provides example formats for different types of reference documents.</w:t>
      </w:r>
    </w:p>
    <w:p w14:paraId="57140E3A" w14:textId="77777777" w:rsidR="00D714DC" w:rsidRDefault="00D714DC" w:rsidP="00D714DC">
      <w:pPr>
        <w:jc w:val="both"/>
        <w:rPr>
          <w:sz w:val="20"/>
          <w:szCs w:val="20"/>
        </w:rPr>
      </w:pPr>
    </w:p>
    <w:p w14:paraId="3772AB53" w14:textId="77777777" w:rsidR="00D714DC" w:rsidRDefault="00D714DC" w:rsidP="00D714DC">
      <w:pPr>
        <w:jc w:val="both"/>
      </w:pPr>
      <w:r>
        <w:rPr>
          <w:b/>
        </w:rPr>
        <w:t>References</w:t>
      </w:r>
    </w:p>
    <w:p w14:paraId="45236A57" w14:textId="77777777" w:rsidR="00D714DC" w:rsidRDefault="00D714DC" w:rsidP="00D714DC">
      <w:pPr>
        <w:numPr>
          <w:ilvl w:val="0"/>
          <w:numId w:val="6"/>
        </w:numPr>
        <w:pBdr>
          <w:top w:val="nil"/>
          <w:left w:val="nil"/>
          <w:bottom w:val="nil"/>
          <w:right w:val="nil"/>
          <w:between w:val="nil"/>
        </w:pBdr>
        <w:ind w:left="360"/>
        <w:jc w:val="both"/>
        <w:rPr>
          <w:color w:val="000000"/>
          <w:sz w:val="20"/>
          <w:szCs w:val="20"/>
        </w:rPr>
      </w:pPr>
      <w:r>
        <w:rPr>
          <w:color w:val="000000"/>
          <w:sz w:val="20"/>
          <w:szCs w:val="20"/>
        </w:rPr>
        <w:t xml:space="preserve">Institute of Electrical and Electronics Engineers, “IEEE Reference Guide,” IEEE Periodicals, V 11.12.2018, 2018. [Online]. Available: </w:t>
      </w:r>
      <w:hyperlink r:id="rId8">
        <w:r>
          <w:rPr>
            <w:color w:val="0000FF"/>
            <w:sz w:val="20"/>
            <w:szCs w:val="20"/>
            <w:u w:val="single"/>
          </w:rPr>
          <w:t>https://ieee-dataport.org/IEEECitationGuidelines.pdf</w:t>
        </w:r>
      </w:hyperlink>
      <w:r>
        <w:rPr>
          <w:color w:val="000000"/>
          <w:sz w:val="20"/>
          <w:szCs w:val="20"/>
        </w:rPr>
        <w:t>. [Accessed September 16, 2020].</w:t>
      </w:r>
    </w:p>
    <w:p w14:paraId="7AB3679D" w14:textId="77777777" w:rsidR="00D714DC" w:rsidRDefault="00D714DC" w:rsidP="00D714DC">
      <w:pPr>
        <w:numPr>
          <w:ilvl w:val="0"/>
          <w:numId w:val="6"/>
        </w:numPr>
        <w:pBdr>
          <w:top w:val="nil"/>
          <w:left w:val="nil"/>
          <w:bottom w:val="nil"/>
          <w:right w:val="nil"/>
          <w:between w:val="nil"/>
        </w:pBdr>
        <w:ind w:left="360"/>
        <w:jc w:val="both"/>
        <w:rPr>
          <w:color w:val="000000"/>
          <w:sz w:val="20"/>
          <w:szCs w:val="20"/>
        </w:rPr>
      </w:pPr>
      <w:r>
        <w:rPr>
          <w:color w:val="000000"/>
          <w:sz w:val="20"/>
          <w:szCs w:val="20"/>
        </w:rPr>
        <w:t xml:space="preserve">N. Yodo, P. Wang, “Resilience Allocation for </w:t>
      </w:r>
      <w:proofErr w:type="gramStart"/>
      <w:r>
        <w:rPr>
          <w:color w:val="000000"/>
          <w:sz w:val="20"/>
          <w:szCs w:val="20"/>
        </w:rPr>
        <w:t>Early Stage</w:t>
      </w:r>
      <w:proofErr w:type="gramEnd"/>
      <w:r>
        <w:rPr>
          <w:color w:val="000000"/>
          <w:sz w:val="20"/>
          <w:szCs w:val="20"/>
        </w:rPr>
        <w:t xml:space="preserve"> Design of Complex Engineered Systems,”</w:t>
      </w:r>
      <w:r>
        <w:rPr>
          <w:color w:val="000000"/>
        </w:rPr>
        <w:t xml:space="preserve"> </w:t>
      </w:r>
      <w:r>
        <w:rPr>
          <w:i/>
          <w:color w:val="000000"/>
          <w:sz w:val="20"/>
          <w:szCs w:val="20"/>
        </w:rPr>
        <w:t>Journal of Mechanical Design</w:t>
      </w:r>
      <w:r>
        <w:rPr>
          <w:color w:val="000000"/>
          <w:sz w:val="20"/>
          <w:szCs w:val="20"/>
        </w:rPr>
        <w:t>, vol. 138, no. 9, pp. 091402 (10 pages), July 2016, doi: 10.1115/1.4033990.</w:t>
      </w:r>
    </w:p>
    <w:p w14:paraId="4F9AF456" w14:textId="77777777" w:rsidR="00D714DC" w:rsidRDefault="00D714DC" w:rsidP="00D714DC">
      <w:pPr>
        <w:numPr>
          <w:ilvl w:val="0"/>
          <w:numId w:val="6"/>
        </w:numPr>
        <w:pBdr>
          <w:top w:val="nil"/>
          <w:left w:val="nil"/>
          <w:bottom w:val="nil"/>
          <w:right w:val="nil"/>
          <w:between w:val="nil"/>
        </w:pBdr>
        <w:ind w:left="360"/>
        <w:jc w:val="both"/>
        <w:rPr>
          <w:color w:val="000000"/>
          <w:sz w:val="20"/>
          <w:szCs w:val="20"/>
        </w:rPr>
      </w:pPr>
      <w:r>
        <w:rPr>
          <w:color w:val="000000"/>
          <w:sz w:val="20"/>
          <w:szCs w:val="20"/>
        </w:rPr>
        <w:t xml:space="preserve">Z. Tan, R. A. Shirwaiker, “A Review of the State of Art and Emerging Industrial and Systems Engineering Trends in Biomanufacturing,” in </w:t>
      </w:r>
      <w:r>
        <w:rPr>
          <w:i/>
          <w:color w:val="000000"/>
          <w:sz w:val="20"/>
          <w:szCs w:val="20"/>
        </w:rPr>
        <w:t>Proceedings of 2012 Industrial and Systems Engineering Research Conference</w:t>
      </w:r>
      <w:r>
        <w:rPr>
          <w:color w:val="000000"/>
          <w:sz w:val="20"/>
          <w:szCs w:val="20"/>
        </w:rPr>
        <w:t xml:space="preserve">, Orlando, FL, USA, May 19-23, 2012, pp. 2407-2414. </w:t>
      </w:r>
    </w:p>
    <w:p w14:paraId="069C5C4A" w14:textId="77777777" w:rsidR="00D714DC" w:rsidRDefault="00D714DC" w:rsidP="00D714DC">
      <w:pPr>
        <w:numPr>
          <w:ilvl w:val="0"/>
          <w:numId w:val="6"/>
        </w:numPr>
        <w:pBdr>
          <w:top w:val="nil"/>
          <w:left w:val="nil"/>
          <w:bottom w:val="nil"/>
          <w:right w:val="nil"/>
          <w:between w:val="nil"/>
        </w:pBdr>
        <w:ind w:left="360"/>
        <w:jc w:val="both"/>
        <w:rPr>
          <w:color w:val="000000"/>
          <w:sz w:val="20"/>
          <w:szCs w:val="20"/>
        </w:rPr>
      </w:pPr>
      <w:r>
        <w:rPr>
          <w:color w:val="000000"/>
          <w:sz w:val="20"/>
          <w:szCs w:val="20"/>
        </w:rPr>
        <w:t xml:space="preserve">T. Chang, R. Wysk, H. Wang, </w:t>
      </w:r>
      <w:r>
        <w:rPr>
          <w:i/>
          <w:color w:val="000000"/>
          <w:sz w:val="20"/>
          <w:szCs w:val="20"/>
        </w:rPr>
        <w:t>Computer-Aided Manufacturing</w:t>
      </w:r>
      <w:r>
        <w:rPr>
          <w:color w:val="000000"/>
          <w:sz w:val="20"/>
          <w:szCs w:val="20"/>
        </w:rPr>
        <w:t xml:space="preserve">, </w:t>
      </w:r>
      <w:r>
        <w:rPr>
          <w:i/>
          <w:color w:val="000000"/>
          <w:sz w:val="20"/>
          <w:szCs w:val="20"/>
        </w:rPr>
        <w:t>3</w:t>
      </w:r>
      <w:r>
        <w:rPr>
          <w:i/>
          <w:color w:val="000000"/>
          <w:sz w:val="20"/>
          <w:szCs w:val="20"/>
          <w:vertAlign w:val="superscript"/>
        </w:rPr>
        <w:t>rd</w:t>
      </w:r>
      <w:r>
        <w:rPr>
          <w:color w:val="000000"/>
          <w:sz w:val="20"/>
          <w:szCs w:val="20"/>
        </w:rPr>
        <w:t xml:space="preserve"> ed. Upper Saddle River, NJ, USA: Prentice Hall, 2006. </w:t>
      </w:r>
    </w:p>
    <w:p w14:paraId="378D3C94" w14:textId="77777777" w:rsidR="00D714DC" w:rsidRDefault="00D714DC" w:rsidP="00D714DC">
      <w:pPr>
        <w:rPr>
          <w:b/>
          <w:bCs/>
        </w:rPr>
      </w:pPr>
    </w:p>
    <w:sectPr w:rsidR="00D714DC" w:rsidSect="00564877">
      <w:footerReference w:type="default" r:id="rId9"/>
      <w:headerReference w:type="first" r:id="rId10"/>
      <w:pgSz w:w="12240" w:h="15840"/>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169B" w14:textId="77777777" w:rsidR="00235762" w:rsidRDefault="00235762">
      <w:r>
        <w:separator/>
      </w:r>
    </w:p>
  </w:endnote>
  <w:endnote w:type="continuationSeparator" w:id="0">
    <w:p w14:paraId="017EA4A5" w14:textId="77777777" w:rsidR="00235762" w:rsidRDefault="00235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806A" w14:textId="00D102C4" w:rsidR="00564877" w:rsidRPr="00564877" w:rsidRDefault="00564877">
    <w:pPr>
      <w:pStyle w:val="Footer"/>
      <w:jc w:val="right"/>
      <w:rPr>
        <w:sz w:val="20"/>
        <w:szCs w:val="20"/>
      </w:rPr>
    </w:pPr>
  </w:p>
  <w:p w14:paraId="2CC80C3C" w14:textId="77777777" w:rsidR="00564877" w:rsidRDefault="0056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005D" w14:textId="77777777" w:rsidR="00235762" w:rsidRDefault="00235762">
      <w:r>
        <w:separator/>
      </w:r>
    </w:p>
  </w:footnote>
  <w:footnote w:type="continuationSeparator" w:id="0">
    <w:p w14:paraId="1E61B2AF" w14:textId="77777777" w:rsidR="00235762" w:rsidRDefault="00235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26EA" w14:textId="4057FE6A" w:rsidR="00274AC8" w:rsidRDefault="00127FD9">
    <w:pPr>
      <w:rPr>
        <w:sz w:val="20"/>
        <w:szCs w:val="20"/>
      </w:rPr>
    </w:pPr>
    <w:r>
      <w:rPr>
        <w:i/>
        <w:sz w:val="20"/>
        <w:szCs w:val="20"/>
      </w:rPr>
      <w:t>Proceedings of the IISE Annual Conference</w:t>
    </w:r>
    <w:r w:rsidR="00A30F2B">
      <w:rPr>
        <w:i/>
        <w:sz w:val="20"/>
        <w:szCs w:val="20"/>
      </w:rPr>
      <w:t xml:space="preserve"> &amp; Expo 202</w:t>
    </w:r>
    <w:r w:rsidR="0057642D">
      <w:rPr>
        <w:i/>
        <w:sz w:val="20"/>
        <w:szCs w:val="20"/>
      </w:rPr>
      <w:t>3</w:t>
    </w:r>
  </w:p>
  <w:p w14:paraId="0FA6A4FE" w14:textId="5D454DE2" w:rsidR="00274AC8" w:rsidRDefault="0057642D">
    <w:pPr>
      <w:rPr>
        <w:sz w:val="20"/>
        <w:szCs w:val="20"/>
      </w:rPr>
    </w:pPr>
    <w:r>
      <w:rPr>
        <w:i/>
        <w:sz w:val="20"/>
        <w:szCs w:val="20"/>
      </w:rPr>
      <w:t>K. Babski-Reeves, B</w:t>
    </w:r>
    <w:r w:rsidR="007C1DE6">
      <w:rPr>
        <w:i/>
        <w:sz w:val="20"/>
        <w:szCs w:val="20"/>
      </w:rPr>
      <w:t xml:space="preserve">. </w:t>
    </w:r>
    <w:r>
      <w:rPr>
        <w:i/>
        <w:sz w:val="20"/>
        <w:szCs w:val="20"/>
      </w:rPr>
      <w:t>Eksioglu</w:t>
    </w:r>
    <w:r w:rsidR="00127FD9">
      <w:rPr>
        <w:i/>
        <w:sz w:val="20"/>
        <w:szCs w:val="20"/>
      </w:rPr>
      <w:t xml:space="preserve">, </w:t>
    </w:r>
    <w:r>
      <w:rPr>
        <w:i/>
        <w:sz w:val="20"/>
        <w:szCs w:val="20"/>
      </w:rPr>
      <w:t>D</w:t>
    </w:r>
    <w:r w:rsidR="00A37C4A">
      <w:rPr>
        <w:i/>
        <w:sz w:val="20"/>
        <w:szCs w:val="20"/>
      </w:rPr>
      <w:t xml:space="preserve">. </w:t>
    </w:r>
    <w:r>
      <w:rPr>
        <w:i/>
        <w:sz w:val="20"/>
        <w:szCs w:val="20"/>
      </w:rPr>
      <w:t>Hampton</w:t>
    </w:r>
    <w:r w:rsidR="00127FD9">
      <w:rPr>
        <w:i/>
        <w:sz w:val="20"/>
        <w:szCs w:val="20"/>
      </w:rPr>
      <w:t>, eds.</w:t>
    </w:r>
  </w:p>
  <w:p w14:paraId="071470C7" w14:textId="77777777" w:rsidR="00274AC8" w:rsidRDefault="00274AC8">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A9E"/>
    <w:multiLevelType w:val="multilevel"/>
    <w:tmpl w:val="01DCAC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51448EF"/>
    <w:multiLevelType w:val="multilevel"/>
    <w:tmpl w:val="59E8A8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FFE1499"/>
    <w:multiLevelType w:val="hybridMultilevel"/>
    <w:tmpl w:val="E4CAA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1A09EE"/>
    <w:multiLevelType w:val="multilevel"/>
    <w:tmpl w:val="1CA659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5415EA4"/>
    <w:multiLevelType w:val="multilevel"/>
    <w:tmpl w:val="FF621EB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78AE739C"/>
    <w:multiLevelType w:val="multilevel"/>
    <w:tmpl w:val="EFCCF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B1093B"/>
    <w:multiLevelType w:val="multilevel"/>
    <w:tmpl w:val="2CAC0BC6"/>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69293322">
    <w:abstractNumId w:val="3"/>
  </w:num>
  <w:num w:numId="2" w16cid:durableId="51775407">
    <w:abstractNumId w:val="0"/>
  </w:num>
  <w:num w:numId="3" w16cid:durableId="2088109526">
    <w:abstractNumId w:val="1"/>
  </w:num>
  <w:num w:numId="4" w16cid:durableId="776945208">
    <w:abstractNumId w:val="6"/>
  </w:num>
  <w:num w:numId="5" w16cid:durableId="1841769762">
    <w:abstractNumId w:val="4"/>
  </w:num>
  <w:num w:numId="6" w16cid:durableId="834304030">
    <w:abstractNumId w:val="5"/>
  </w:num>
  <w:num w:numId="7" w16cid:durableId="1026904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AC8"/>
    <w:rsid w:val="00042ED4"/>
    <w:rsid w:val="00081181"/>
    <w:rsid w:val="00083991"/>
    <w:rsid w:val="000B29D6"/>
    <w:rsid w:val="000D64E6"/>
    <w:rsid w:val="000E0A13"/>
    <w:rsid w:val="000F43FC"/>
    <w:rsid w:val="001139F1"/>
    <w:rsid w:val="00127FD9"/>
    <w:rsid w:val="0016614C"/>
    <w:rsid w:val="00182A7B"/>
    <w:rsid w:val="0018425B"/>
    <w:rsid w:val="00197CE7"/>
    <w:rsid w:val="001C3302"/>
    <w:rsid w:val="001C7F44"/>
    <w:rsid w:val="001D0ACD"/>
    <w:rsid w:val="001E61C5"/>
    <w:rsid w:val="00232CF4"/>
    <w:rsid w:val="00235762"/>
    <w:rsid w:val="0024430A"/>
    <w:rsid w:val="00261522"/>
    <w:rsid w:val="00274AC8"/>
    <w:rsid w:val="00287D1F"/>
    <w:rsid w:val="002C1999"/>
    <w:rsid w:val="002C4970"/>
    <w:rsid w:val="00314857"/>
    <w:rsid w:val="0038472E"/>
    <w:rsid w:val="003C5CA3"/>
    <w:rsid w:val="003D3634"/>
    <w:rsid w:val="004204FB"/>
    <w:rsid w:val="004253D2"/>
    <w:rsid w:val="004412BB"/>
    <w:rsid w:val="00491366"/>
    <w:rsid w:val="00492638"/>
    <w:rsid w:val="004C1D2B"/>
    <w:rsid w:val="004F3B5F"/>
    <w:rsid w:val="004F48D8"/>
    <w:rsid w:val="00536981"/>
    <w:rsid w:val="00564877"/>
    <w:rsid w:val="005733F1"/>
    <w:rsid w:val="0057642D"/>
    <w:rsid w:val="005A0578"/>
    <w:rsid w:val="005E4BAF"/>
    <w:rsid w:val="00614553"/>
    <w:rsid w:val="00617AD6"/>
    <w:rsid w:val="006465B0"/>
    <w:rsid w:val="00671BF5"/>
    <w:rsid w:val="006C5148"/>
    <w:rsid w:val="006D75EA"/>
    <w:rsid w:val="006E01F4"/>
    <w:rsid w:val="006E0BDB"/>
    <w:rsid w:val="006F51B0"/>
    <w:rsid w:val="00731BA8"/>
    <w:rsid w:val="00752988"/>
    <w:rsid w:val="007548A7"/>
    <w:rsid w:val="00770119"/>
    <w:rsid w:val="00770D31"/>
    <w:rsid w:val="00777905"/>
    <w:rsid w:val="00786D1E"/>
    <w:rsid w:val="007C1DE6"/>
    <w:rsid w:val="007D6D07"/>
    <w:rsid w:val="007F0241"/>
    <w:rsid w:val="00811569"/>
    <w:rsid w:val="00820AEF"/>
    <w:rsid w:val="008228AA"/>
    <w:rsid w:val="00826EE7"/>
    <w:rsid w:val="008408B4"/>
    <w:rsid w:val="00877002"/>
    <w:rsid w:val="00897CB5"/>
    <w:rsid w:val="008B5506"/>
    <w:rsid w:val="008B66B8"/>
    <w:rsid w:val="008D483A"/>
    <w:rsid w:val="00905223"/>
    <w:rsid w:val="0090695F"/>
    <w:rsid w:val="0091210C"/>
    <w:rsid w:val="00923166"/>
    <w:rsid w:val="00930C39"/>
    <w:rsid w:val="00932864"/>
    <w:rsid w:val="00936DA4"/>
    <w:rsid w:val="00961399"/>
    <w:rsid w:val="00965CB2"/>
    <w:rsid w:val="00967FEE"/>
    <w:rsid w:val="009817FE"/>
    <w:rsid w:val="0098758D"/>
    <w:rsid w:val="00996C49"/>
    <w:rsid w:val="00997222"/>
    <w:rsid w:val="009B712D"/>
    <w:rsid w:val="009C011E"/>
    <w:rsid w:val="009E6100"/>
    <w:rsid w:val="00A02774"/>
    <w:rsid w:val="00A02A50"/>
    <w:rsid w:val="00A04220"/>
    <w:rsid w:val="00A2383C"/>
    <w:rsid w:val="00A271DC"/>
    <w:rsid w:val="00A30F2B"/>
    <w:rsid w:val="00A35DA9"/>
    <w:rsid w:val="00A37C4A"/>
    <w:rsid w:val="00A5087C"/>
    <w:rsid w:val="00A74143"/>
    <w:rsid w:val="00A823E3"/>
    <w:rsid w:val="00AA1D8B"/>
    <w:rsid w:val="00AC54F0"/>
    <w:rsid w:val="00AD129F"/>
    <w:rsid w:val="00AD1CFF"/>
    <w:rsid w:val="00AD543C"/>
    <w:rsid w:val="00B03FAE"/>
    <w:rsid w:val="00B07603"/>
    <w:rsid w:val="00B31F7D"/>
    <w:rsid w:val="00B65E9C"/>
    <w:rsid w:val="00B71BF1"/>
    <w:rsid w:val="00B77134"/>
    <w:rsid w:val="00B90EEB"/>
    <w:rsid w:val="00BD14B9"/>
    <w:rsid w:val="00BD5986"/>
    <w:rsid w:val="00BE6D23"/>
    <w:rsid w:val="00C03CD0"/>
    <w:rsid w:val="00C20259"/>
    <w:rsid w:val="00C4059D"/>
    <w:rsid w:val="00C41F14"/>
    <w:rsid w:val="00C52455"/>
    <w:rsid w:val="00C91BED"/>
    <w:rsid w:val="00C95764"/>
    <w:rsid w:val="00CA4545"/>
    <w:rsid w:val="00CA4F37"/>
    <w:rsid w:val="00CA54EF"/>
    <w:rsid w:val="00D21BB8"/>
    <w:rsid w:val="00D40338"/>
    <w:rsid w:val="00D714DC"/>
    <w:rsid w:val="00D80A9F"/>
    <w:rsid w:val="00D93FDB"/>
    <w:rsid w:val="00DD6AA2"/>
    <w:rsid w:val="00E270E5"/>
    <w:rsid w:val="00E31F0C"/>
    <w:rsid w:val="00E36A7F"/>
    <w:rsid w:val="00E56372"/>
    <w:rsid w:val="00E81A69"/>
    <w:rsid w:val="00E81E1A"/>
    <w:rsid w:val="00E968E0"/>
    <w:rsid w:val="00EA1DD6"/>
    <w:rsid w:val="00EF734E"/>
    <w:rsid w:val="00F346EC"/>
    <w:rsid w:val="00F4123D"/>
    <w:rsid w:val="00F54DE0"/>
    <w:rsid w:val="00F90CE7"/>
    <w:rsid w:val="00FA556D"/>
    <w:rsid w:val="00FB7C93"/>
    <w:rsid w:val="00FD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72FB3"/>
  <w15:docId w15:val="{E5C6C853-6A4B-C543-91B8-12217125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B71BF1"/>
    <w:pPr>
      <w:keepNext/>
      <w:ind w:left="360" w:hanging="360"/>
      <w:outlineLvl w:val="1"/>
    </w:pPr>
    <w:rPr>
      <w:rFonts w:eastAsia="Century Gothic"/>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widowControl w:val="0"/>
      <w:spacing w:line="360" w:lineRule="auto"/>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77319"/>
    <w:pPr>
      <w:tabs>
        <w:tab w:val="center" w:pos="4680"/>
        <w:tab w:val="right" w:pos="9360"/>
      </w:tabs>
    </w:pPr>
  </w:style>
  <w:style w:type="character" w:customStyle="1" w:styleId="HeaderChar">
    <w:name w:val="Header Char"/>
    <w:basedOn w:val="DefaultParagraphFont"/>
    <w:link w:val="Header"/>
    <w:uiPriority w:val="99"/>
    <w:rsid w:val="00977319"/>
  </w:style>
  <w:style w:type="paragraph" w:styleId="Footer">
    <w:name w:val="footer"/>
    <w:basedOn w:val="Normal"/>
    <w:link w:val="FooterChar"/>
    <w:uiPriority w:val="99"/>
    <w:unhideWhenUsed/>
    <w:rsid w:val="00977319"/>
    <w:pPr>
      <w:tabs>
        <w:tab w:val="center" w:pos="4680"/>
        <w:tab w:val="right" w:pos="9360"/>
      </w:tabs>
    </w:pPr>
  </w:style>
  <w:style w:type="character" w:customStyle="1" w:styleId="FooterChar">
    <w:name w:val="Footer Char"/>
    <w:basedOn w:val="DefaultParagraphFont"/>
    <w:link w:val="Footer"/>
    <w:uiPriority w:val="99"/>
    <w:rsid w:val="00977319"/>
  </w:style>
  <w:style w:type="character" w:styleId="Hyperlink">
    <w:name w:val="Hyperlink"/>
    <w:basedOn w:val="DefaultParagraphFont"/>
    <w:uiPriority w:val="99"/>
    <w:unhideWhenUsed/>
    <w:rsid w:val="00977319"/>
    <w:rPr>
      <w:color w:val="0000FF" w:themeColor="hyperlink"/>
      <w:u w:val="single"/>
    </w:rPr>
  </w:style>
  <w:style w:type="paragraph" w:styleId="NormalWeb">
    <w:name w:val="Normal (Web)"/>
    <w:basedOn w:val="Normal"/>
    <w:uiPriority w:val="99"/>
    <w:unhideWhenUsed/>
    <w:rsid w:val="0037154C"/>
    <w:pPr>
      <w:spacing w:before="100" w:beforeAutospacing="1" w:after="100" w:afterAutospacing="1"/>
    </w:pPr>
  </w:style>
  <w:style w:type="paragraph" w:styleId="ListParagraph">
    <w:name w:val="List Paragraph"/>
    <w:basedOn w:val="Normal"/>
    <w:uiPriority w:val="34"/>
    <w:qFormat/>
    <w:rsid w:val="00D53E23"/>
    <w:pPr>
      <w:ind w:left="720"/>
      <w:contextualSpacing/>
    </w:pPr>
  </w:style>
  <w:style w:type="character" w:styleId="FollowedHyperlink">
    <w:name w:val="FollowedHyperlink"/>
    <w:basedOn w:val="DefaultParagraphFont"/>
    <w:uiPriority w:val="99"/>
    <w:semiHidden/>
    <w:unhideWhenUsed/>
    <w:rsid w:val="00AA6CD7"/>
    <w:rPr>
      <w:color w:val="800080" w:themeColor="followedHyperlink"/>
      <w:u w:val="single"/>
    </w:r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048A7"/>
    <w:rPr>
      <w:sz w:val="18"/>
      <w:szCs w:val="18"/>
    </w:rPr>
  </w:style>
  <w:style w:type="character" w:customStyle="1" w:styleId="BalloonTextChar">
    <w:name w:val="Balloon Text Char"/>
    <w:basedOn w:val="DefaultParagraphFont"/>
    <w:link w:val="BalloonText"/>
    <w:uiPriority w:val="99"/>
    <w:semiHidden/>
    <w:rsid w:val="002048A7"/>
    <w:rPr>
      <w:sz w:val="18"/>
      <w:szCs w:val="18"/>
    </w:rPr>
  </w:style>
  <w:style w:type="character" w:styleId="CommentReference">
    <w:name w:val="annotation reference"/>
    <w:basedOn w:val="DefaultParagraphFont"/>
    <w:uiPriority w:val="99"/>
    <w:semiHidden/>
    <w:unhideWhenUsed/>
    <w:rsid w:val="001B0588"/>
    <w:rPr>
      <w:sz w:val="16"/>
      <w:szCs w:val="16"/>
    </w:rPr>
  </w:style>
  <w:style w:type="paragraph" w:styleId="CommentText">
    <w:name w:val="annotation text"/>
    <w:basedOn w:val="Normal"/>
    <w:link w:val="CommentTextChar"/>
    <w:uiPriority w:val="99"/>
    <w:semiHidden/>
    <w:unhideWhenUsed/>
    <w:rsid w:val="001B0588"/>
    <w:rPr>
      <w:sz w:val="20"/>
      <w:szCs w:val="20"/>
    </w:rPr>
  </w:style>
  <w:style w:type="character" w:customStyle="1" w:styleId="CommentTextChar">
    <w:name w:val="Comment Text Char"/>
    <w:basedOn w:val="DefaultParagraphFont"/>
    <w:link w:val="CommentText"/>
    <w:uiPriority w:val="99"/>
    <w:semiHidden/>
    <w:rsid w:val="001B0588"/>
    <w:rPr>
      <w:sz w:val="20"/>
      <w:szCs w:val="20"/>
    </w:rPr>
  </w:style>
  <w:style w:type="paragraph" w:styleId="CommentSubject">
    <w:name w:val="annotation subject"/>
    <w:basedOn w:val="CommentText"/>
    <w:next w:val="CommentText"/>
    <w:link w:val="CommentSubjectChar"/>
    <w:uiPriority w:val="99"/>
    <w:semiHidden/>
    <w:unhideWhenUsed/>
    <w:rsid w:val="001B0588"/>
    <w:rPr>
      <w:b/>
      <w:bCs/>
    </w:rPr>
  </w:style>
  <w:style w:type="character" w:customStyle="1" w:styleId="CommentSubjectChar">
    <w:name w:val="Comment Subject Char"/>
    <w:basedOn w:val="CommentTextChar"/>
    <w:link w:val="CommentSubject"/>
    <w:uiPriority w:val="99"/>
    <w:semiHidden/>
    <w:rsid w:val="001B0588"/>
    <w:rPr>
      <w:b/>
      <w:bCs/>
      <w:sz w:val="20"/>
      <w:szCs w:val="20"/>
    </w:r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7C1DE6"/>
    <w:rPr>
      <w:color w:val="605E5C"/>
      <w:shd w:val="clear" w:color="auto" w:fill="E1DFDD"/>
    </w:rPr>
  </w:style>
  <w:style w:type="paragraph" w:styleId="PlainText">
    <w:name w:val="Plain Text"/>
    <w:basedOn w:val="Normal"/>
    <w:link w:val="PlainTextChar"/>
    <w:rsid w:val="00EA1DD6"/>
    <w:rPr>
      <w:rFonts w:ascii="Courier New" w:eastAsia="Calibri" w:hAnsi="Courier New"/>
      <w:sz w:val="20"/>
      <w:szCs w:val="20"/>
      <w:lang w:val="x-none" w:eastAsia="x-none"/>
    </w:rPr>
  </w:style>
  <w:style w:type="character" w:customStyle="1" w:styleId="PlainTextChar">
    <w:name w:val="Plain Text Char"/>
    <w:basedOn w:val="DefaultParagraphFont"/>
    <w:link w:val="PlainText"/>
    <w:rsid w:val="00EA1DD6"/>
    <w:rPr>
      <w:rFonts w:ascii="Courier New" w:eastAsia="Calibri" w:hAnsi="Courier New"/>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dataport.org/sites/default/files/analysis/27/IEEE%20Citation%20Guideline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Gibbs</dc:creator>
  <cp:lastModifiedBy>Burak Eksioglu</cp:lastModifiedBy>
  <cp:revision>9</cp:revision>
  <cp:lastPrinted>2021-12-13T20:06:00Z</cp:lastPrinted>
  <dcterms:created xsi:type="dcterms:W3CDTF">2022-10-30T22:38:00Z</dcterms:created>
  <dcterms:modified xsi:type="dcterms:W3CDTF">2022-11-04T13:35:00Z</dcterms:modified>
</cp:coreProperties>
</file>