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3864"/>
          <w:sz w:val="44"/>
          <w:szCs w:val="44"/>
        </w:rPr>
        <w:t xml:space="preserve">Oil Recycling Company Management System</w:t>
      </w:r>
    </w:p>
    <w:p>
      <w:pPr>
        <w:spacing w:after="400"/>
        <w:jc w:val="center"/>
      </w:pPr>
      <w:r>
        <w:rPr>
          <w:b/>
          <w:bCs/>
          <w:color w:val="1F3864"/>
          <w:sz w:val="32"/>
          <w:szCs w:val="32"/>
        </w:rPr>
        <w:t xml:space="preserve">(ORCMS)</w:t>
      </w:r>
    </w:p>
    <w:p>
      <w:pPr>
        <w:spacing w:after="1200"/>
        <w:jc w:val="center"/>
      </w:pPr>
      <w:r>
        <w:rPr>
          <w:sz w:val="28"/>
          <w:szCs w:val="28"/>
        </w:rPr>
        <w:t xml:space="preserve">Software Requirements Specification (SRS)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 1.0</w:t>
      </w:r>
    </w:p>
    <w:p>
      <w:pPr>
        <w:jc w:val="center"/>
      </w:pPr>
      <w:r>
        <w:rPr>
          <w:sz w:val="22"/>
          <w:szCs w:val="22"/>
        </w:rPr>
        <w:t xml:space="preserve">Prepared: July 2026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Introduction</w:t>
      </w:r>
    </w:p>
    <w:p>
      <w:pPr>
        <w:pStyle w:val="Heading2"/>
        <w:spacing w:after="120" w:before="260"/>
      </w:pPr>
      <w:r>
        <w:t xml:space="preserve">1.1 Purpose</w:t>
      </w:r>
    </w:p>
    <w:p>
      <w:pPr>
        <w:spacing w:after="120"/>
      </w:pPr>
      <w:r>
        <w:t xml:space="preserve">This document defines the functional and non-functional requirements for the Oil Recycling Company Management System (ORCMS) — a web-based ERP and accounting system for a company that purchases, processes, and sells Used Cooking Oil (UCO) and Used Engine Oil (UEO). It is intended to guide development, serve as a reference for stakeholders, and provide a basis for testing and acceptance.</w:t>
      </w:r>
    </w:p>
    <w:p>
      <w:pPr>
        <w:pStyle w:val="Heading2"/>
        <w:spacing w:after="120" w:before="260"/>
      </w:pPr>
      <w:r>
        <w:t xml:space="preserve">1.2 Business Context</w:t>
      </w:r>
    </w:p>
    <w:p>
      <w:pPr>
        <w:spacing w:after="120"/>
      </w:pPr>
      <w:r>
        <w:t xml:space="preserve">The company operates two distinct but related business lines: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Cooking Oil (UCO): purchased in drums from restaurants, hotels, factories, and suppliers, and exported internationally in containers.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Engine Oil (UEO): purchased in drums from workshops and industries, and sold locally using tankers.</w:t>
      </w:r>
    </w:p>
    <w:p>
      <w:pPr>
        <w:spacing w:after="120"/>
      </w:pPr>
      <w:r>
        <w:t xml:space="preserve">Both business lines share company-wide financial records (expenses, salaries, owner's drawings, cash &amp; bank), while operational records (purchases, sales, drivers, inventory) are kept separate per oil type.</w:t>
      </w:r>
    </w:p>
    <w:p>
      <w:pPr>
        <w:pStyle w:val="Heading2"/>
        <w:spacing w:after="120" w:before="260"/>
      </w:pPr>
      <w:r>
        <w:t xml:space="preserve">1.3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Replace manual registers and spreadsheets with a single digital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Improve accuracy of purchase, sales, and financial records.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real-time visibility into stock, cash, and profit.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Simplify annual audits and government weight fee refund tracking.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Preserve complete historical records across all financial years.</w:t>
      </w:r>
    </w:p>
    <w:p>
      <w:pPr>
        <w:pStyle w:val="Heading1"/>
        <w:spacing w:after="160" w:before="360"/>
      </w:pPr>
      <w:r>
        <w:t xml:space="preserve">2. Deployment Architecture Decision</w:t>
      </w:r>
    </w:p>
    <w:p>
      <w:pPr>
        <w:pStyle w:val="Heading2"/>
        <w:spacing w:after="120" w:before="260"/>
      </w:pPr>
      <w:r>
        <w:t xml:space="preserve">2.1 Requirement Context</w:t>
      </w:r>
    </w:p>
    <w:p>
      <w:pPr>
        <w:spacing w:after="120"/>
      </w:pPr>
      <w:r>
        <w:t xml:space="preserve">Confirmed with stakeholder: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will be entered only by the Accountant.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requires full access; Auditors require read-only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field/mobile data entry is required (drivers/staff do not enter data outside the office).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Office internet connectivity is very reliable.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accountants may need to work from different laptops, potentially at the same time (one covering for another).</w:t>
      </w:r>
    </w:p>
    <w:p>
      <w:pPr>
        <w:pStyle w:val="Heading2"/>
        <w:spacing w:after="120" w:before="260"/>
      </w:pPr>
      <w:r>
        <w:t xml:space="preserve">2.2 Decision: Locally-Hosted Web Application</w:t>
      </w:r>
    </w:p>
    <w:p>
      <w:pPr>
        <w:spacing w:after="120"/>
      </w:pPr>
      <w:r>
        <w:t xml:space="preserve">ORCMS will be built as a web application, hosted on a server/central machine within the company's own office network (a local intranet application) rather than as standalone desktop software with per-machine data files, and rather than a public cloud-hosted service.</w:t>
      </w:r>
    </w:p>
    <w:p>
      <w:pPr>
        <w:pStyle w:val="Heading2"/>
        <w:spacing w:after="120" w:before="260"/>
      </w:pPr>
      <w:r>
        <w:t xml:space="preserve">2.3 Rationale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laptops can access the same live data simultaneously through a browser — no manual file syncing or risk of overwritten records between accountants.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installation or update process required on each laptop; updates are applied once, centrally,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logins (Admin, Accountant, Auditor) are natively supported by a client-server/web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server on the local network avoids recurring public cloud hosting costs and keeps financial data on company premises.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remote access is later required (e.g., an auditor working off-site during audit season), it can be enabled via VPN or controlled port access without re-architecting the system.</w:t>
      </w:r>
    </w:p>
    <w:p>
      <w:pPr>
        <w:pStyle w:val="Heading2"/>
        <w:spacing w:after="120" w:before="260"/>
      </w:pPr>
      <w:r>
        <w:t xml:space="preserve">2.4 Rejected Alternatives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Standalone desktop software with local data files — rejected because it does not support simultaneous multi-user access without effectively rebuilding a shared database layer, at which point it becomes the same architecture as the recommended solution but with more per-machine maintenance.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 cloud-hosted web application — not required given reliable office internet and no field access requirement; may be revisited later if remote access needs grow.</w:t>
      </w:r>
    </w:p>
    <w:p>
      <w:pPr>
        <w:pStyle w:val="Heading1"/>
        <w:spacing w:after="160" w:before="360"/>
      </w:pPr>
      <w:r>
        <w:t xml:space="preserve">3. User Roles &amp; Access Control</w:t>
      </w:r>
    </w:p>
    <w:p>
      <w:pPr>
        <w:spacing w:after="120"/>
      </w:pPr>
      <w:r>
        <w:t xml:space="preserve">The system supports role-based access control. The table below reflects confirmed usage patterns plus the originally specified role set.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3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Usage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access — all modules, all years, settings, user management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owner / senior management oversight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data entry and edit access to purchases, sales, expenses, salaries, drawings, cash &amp; bank, weight fees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day-to-day data entry (confirmed as sole data-entry role)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modules and reports (no financial editing)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role — operational oversight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Auditor</w:t>
            </w:r>
          </w:p>
        </w:tc>
        <w:tc>
          <w:tcPr>
            <w:tcW w:type="dxa" w:w="4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access to all modules and historical years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Periodic audit review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Entry Operator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entry — purchases, sales, driver collections only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role if entry is later delegated beyond the accountant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Security requirement: two-factor authentication (2FA) is recommended for Administrator and Accountant accounts given the financial sensitivity of the data.</w:t>
      </w:r>
    </w:p>
    <w:p>
      <w:pPr>
        <w:pStyle w:val="Heading1"/>
        <w:spacing w:after="160" w:before="360"/>
      </w:pPr>
      <w:r>
        <w:t xml:space="preserve">4. Functional Requirements</w:t>
      </w:r>
    </w:p>
    <w:p>
      <w:pPr>
        <w:pStyle w:val="Heading2"/>
        <w:spacing w:after="120" w:before="260"/>
      </w:pPr>
      <w:r>
        <w:t xml:space="preserve">4.1 Dashboard</w:t>
      </w:r>
    </w:p>
    <w:p>
      <w:pPr>
        <w:spacing w:after="120"/>
      </w:pPr>
      <w:r>
        <w:t xml:space="preserve">Three-part dashboard providing at-a-glance visibility.</w:t>
      </w:r>
    </w:p>
    <w:p>
      <w:pPr>
        <w:pStyle w:val="Heading3"/>
        <w:spacing w:after="100" w:before="200"/>
      </w:pPr>
      <w:r>
        <w:t xml:space="preserve">Company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Today's Purchases, Today's Sales, Today's 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Net Profit, Annual Net Profit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Balance, Bank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Company Expenses, Owner's Drawings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Recent Transactions</w:t>
      </w:r>
    </w:p>
    <w:p>
      <w:pPr>
        <w:pStyle w:val="Heading3"/>
        <w:spacing w:after="100" w:before="200"/>
      </w:pPr>
      <w:r>
        <w:t xml:space="preserve">Used Cooking Oil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Drums Purchased, Total Export Sales, Total Containers Sold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Gross Profit, Annual Gross Profit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UCO Stock (drums) — from Inventory module</w:t>
      </w:r>
    </w:p>
    <w:p>
      <w:pPr>
        <w:pStyle w:val="Heading3"/>
        <w:spacing w:after="100" w:before="200"/>
      </w:pPr>
      <w:r>
        <w:t xml:space="preserve">Used Engine Oil Summary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Drums Purchased, Total Local Sales, Total Tankers Sold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Gross Profit, Annual Gross Profit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UEO Stock (drums) — from Inventory module</w:t>
      </w:r>
    </w:p>
    <w:p>
      <w:pPr>
        <w:pStyle w:val="Heading2"/>
        <w:spacing w:after="120" w:before="260"/>
      </w:pPr>
      <w:r>
        <w:t xml:space="preserve">4.2 Driver Management</w:t>
      </w:r>
    </w:p>
    <w:p>
      <w:pPr>
        <w:pStyle w:val="Heading3"/>
        <w:spacing w:after="100" w:before="200"/>
      </w:pPr>
      <w:r>
        <w:t xml:space="preserve">Driver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Vehicle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License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Joining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</w:t>
      </w:r>
    </w:p>
    <w:p>
      <w:pPr>
        <w:pStyle w:val="Heading3"/>
        <w:spacing w:after="100" w:before="200"/>
      </w:pPr>
      <w:r>
        <w:t xml:space="preserve">Daily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Date, Driver, Oil Type, Supplier, Collection Area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Drums Collected, Purchase Rate per Drum, Total Purchase 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Payment, Online Payment, Remaining Balance,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auto-calculates Daily / Monthly / Annual Collections</w:t>
      </w:r>
    </w:p>
    <w:p>
      <w:pPr>
        <w:pStyle w:val="Heading3"/>
        <w:spacing w:after="100" w:before="200"/>
      </w:pPr>
      <w:r>
        <w:t xml:space="preserve">Driver Vacation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Vacation Start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Vacation End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marked unavailable in reports during this period</w:t>
      </w:r>
    </w:p>
    <w:p>
      <w:pPr>
        <w:pStyle w:val="Heading2"/>
        <w:spacing w:after="120" w:before="260"/>
      </w:pPr>
      <w:r>
        <w:t xml:space="preserve">4.3 Purchase Management</w:t>
      </w:r>
    </w:p>
    <w:p>
      <w:pPr>
        <w:pStyle w:val="Heading3"/>
        <w:spacing w:after="100" w:before="200"/>
      </w:pPr>
      <w:r>
        <w:t xml:space="preserve">Basic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Oil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Source (Driver Collection / Direct Company Agreement)</w:t>
      </w:r>
    </w:p>
    <w:p>
      <w:pPr>
        <w:pStyle w:val="Heading3"/>
        <w:spacing w:after="100" w:before="200"/>
      </w:pPr>
      <w:r>
        <w:t xml:space="preserve">Purchase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Supplier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Drums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Rate per Drum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Purchase Amount</w:t>
      </w:r>
    </w:p>
    <w:p>
      <w:pPr>
        <w:pStyle w:val="Heading3"/>
        <w:spacing w:after="100" w:before="200"/>
      </w:pPr>
      <w:r>
        <w:t xml:space="preserve">Payment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Paid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Status</w:t>
      </w:r>
    </w:p>
    <w:p>
      <w:pPr>
        <w:pStyle w:val="Heading3"/>
        <w:spacing w:after="100" w:before="200"/>
      </w:pPr>
      <w:r>
        <w:t xml:space="preserve">Government Weight Fee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Fee Paid (Yes/No), Weight Fee Amount, Slip Number, Slip Attachment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Eligible, Refund Status (Pending / Claimed / Received)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Amount (may differ from amount paid)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Received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Return Status (Pending / Returned)</w:t>
      </w:r>
    </w:p>
    <w:p>
      <w:pPr>
        <w:pStyle w:val="Heading3"/>
        <w:spacing w:after="100" w:before="200"/>
      </w:pPr>
      <w:r>
        <w:t xml:space="preserve">Additional / Special Cases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Driver,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"No Purchase" flag to record days with zero purchase activity and keep daily records complete</w:t>
      </w:r>
    </w:p>
    <w:p>
      <w:pPr>
        <w:pStyle w:val="Heading2"/>
        <w:spacing w:after="120" w:before="260"/>
      </w:pPr>
      <w:r>
        <w:t xml:space="preserve">4.4 Direct Company Agreements</w:t>
      </w:r>
    </w:p>
    <w:p>
      <w:pPr>
        <w:pStyle w:val="Heading3"/>
        <w:spacing w:after="100" w:before="200"/>
      </w:pPr>
      <w:r>
        <w:t xml:space="preserve">Agreement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Person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Agreement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Agreement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Oil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spacing w:after="120"/>
      </w:pPr>
      <w:r>
        <w:t xml:space="preserve">Purchases made under agreements are recorded and reported separately from driver collections.</w:t>
      </w:r>
    </w:p>
    <w:p>
      <w:pPr>
        <w:pStyle w:val="Heading2"/>
        <w:spacing w:after="120" w:before="260"/>
      </w:pPr>
      <w:r>
        <w:t xml:space="preserve">4.5 Used Cooking Oil Sales (Export)</w:t>
      </w:r>
    </w:p>
    <w:p>
      <w:pPr>
        <w:pStyle w:val="Heading3"/>
        <w:spacing w:after="100" w:before="20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Destination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Number(s)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Containers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Drums Sold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Sale 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Heading2"/>
        <w:spacing w:after="120" w:before="260"/>
      </w:pPr>
      <w:r>
        <w:t xml:space="preserve">4.6 Used Engine Oil Sales (Local)</w:t>
      </w:r>
    </w:p>
    <w:p>
      <w:pPr>
        <w:pStyle w:val="Heading3"/>
        <w:spacing w:after="100" w:before="20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Tanker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Drums Sold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Total Sale 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spacing w:after="120"/>
      </w:pPr>
      <w:r>
        <w:t xml:space="preserve">"No Sale" flag available for both UCO and UEO to record days with zero sales activity.</w:t>
      </w:r>
    </w:p>
    <w:p>
      <w:pPr>
        <w:pStyle w:val="Heading2"/>
        <w:spacing w:after="120" w:before="260"/>
      </w:pPr>
      <w:r>
        <w:t xml:space="preserve">4.7 Container &amp; Tanker Records</w:t>
      </w:r>
    </w:p>
    <w:p>
      <w:pPr>
        <w:pStyle w:val="Heading3"/>
        <w:spacing w:after="100" w:before="200"/>
      </w:pPr>
      <w:r>
        <w:t xml:space="preserve">Cooking Oil Containers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Destination Country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Drums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Amount</w:t>
      </w:r>
    </w:p>
    <w:p>
      <w:pPr>
        <w:pStyle w:val="Heading3"/>
        <w:spacing w:after="100" w:before="200"/>
      </w:pPr>
      <w:r>
        <w:t xml:space="preserve">Engine Oil Tankers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Tanker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Number of Drums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should validate that drums assigned to a container/tanker do not exceed its physical capacity.</w:t>
      </w:r>
    </w:p>
    <w:p>
      <w:pPr>
        <w:pStyle w:val="Heading2"/>
        <w:spacing w:after="120" w:before="260"/>
      </w:pPr>
      <w:r>
        <w:t xml:space="preserve">4.8 Inventory / Stock Management (New Core Module)</w:t>
      </w:r>
    </w:p>
    <w:p>
      <w:pPr>
        <w:spacing w:after="120"/>
      </w:pPr>
      <w:r>
        <w:rPr>
          <w:i/>
          <w:iCs/>
        </w:rPr>
        <w:t xml:space="preserve">Recommended as a core module rather than an optional add-on, since it ties purchases and sales together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Automatically increases UCO/UEO stock (drums) on recorded purchases.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Automatically decreases UCO/UEO stock on recorded export/local sales.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current stock level per oil type, always visible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valuation (based on purchase cost) for financial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warning if a sale would exceed currently available stock.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Low-stock alert threshold, configurable per oil type, to flag when stock may be insufficient for upcoming commitments.</w:t>
      </w:r>
    </w:p>
    <w:p>
      <w:pPr>
        <w:pStyle w:val="Heading2"/>
        <w:spacing w:after="120" w:before="260"/>
      </w:pPr>
      <w:r>
        <w:t xml:space="preserve">4.9 Expense Management</w:t>
      </w:r>
    </w:p>
    <w:p>
      <w:pPr>
        <w:spacing w:after="120"/>
      </w:pPr>
      <w:r>
        <w:t xml:space="preserve">Expenses belong to the company as a whole, not to a specific oil 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Categories: Salaries, Kitchen, Fuel, Electricity, Water, Rent, Vehicle Maintenance, Office Expenses, Miscellaneous (configurable).</w:t>
      </w:r>
    </w:p>
    <w:p>
      <w:pPr>
        <w:pStyle w:val="Heading3"/>
        <w:spacing w:after="100" w:before="200"/>
      </w:pPr>
      <w:r>
        <w:t xml:space="preserve">Expense Record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Description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Receipt Attachment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Heading2"/>
        <w:spacing w:after="120" w:before="260"/>
      </w:pPr>
      <w:r>
        <w:t xml:space="preserve">4.10 Salary Management</w:t>
      </w:r>
    </w:p>
    <w:p>
      <w:pPr>
        <w:pStyle w:val="Heading3"/>
        <w:spacing w:after="100" w:before="20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 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 Salary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Remaining Salary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Heading2"/>
        <w:spacing w:after="120" w:before="260"/>
      </w:pPr>
      <w:r>
        <w:t xml:space="preserve">4.11 Government Weight Fee Management</w:t>
      </w:r>
    </w:p>
    <w:p>
      <w:pPr>
        <w:spacing w:after="120"/>
      </w:pPr>
      <w:r>
        <w:rPr>
          <w:i/>
          <w:iCs/>
        </w:rPr>
        <w:t xml:space="preserve">Functions as the company's tax/duty refund pipeline, since tax paid by the company is refundable upon submission of slips.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Reference, Weight Fee Paid, Amount, Slip Number, Attachment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Eligible, Refund Status, Refund Amount (tracked separately from amount paid)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Received Date, for reconciliation against Bank Ledger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Return 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Aging report on pending refunds — highlighting slips stuck in "Claimed" status beyond a configurable number of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figure: Total Outstanding Refunds Owed by Government</w:t>
      </w:r>
    </w:p>
    <w:p>
      <w:pPr>
        <w:pStyle w:val="Heading2"/>
        <w:spacing w:after="120" w:before="260"/>
      </w:pPr>
      <w:r>
        <w:t xml:space="preserve">4.12 Customer &amp; Supplier Management</w:t>
      </w:r>
    </w:p>
    <w:p>
      <w:pPr>
        <w:pStyle w:val="Heading3"/>
        <w:spacing w:after="100" w:before="20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Phone Number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Oil Type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Outstanding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Receivable / Payable aging report (0–30 / 31–60 / 60+ days) for outstanding customer and supplier balances.</w:t>
      </w:r>
    </w:p>
    <w:p>
      <w:pPr>
        <w:pStyle w:val="Heading2"/>
        <w:spacing w:after="120" w:before="260"/>
      </w:pPr>
      <w:r>
        <w:t xml:space="preserve">4.13 Owner's Drawings</w:t>
      </w:r>
    </w:p>
    <w:p>
      <w:pPr>
        <w:pStyle w:val="Heading3"/>
        <w:spacing w:after="100" w:before="20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Reports: Monthly Drawings, Annual Drawings</w:t>
      </w:r>
    </w:p>
    <w:p>
      <w:pPr>
        <w:spacing w:after="120"/>
      </w:pPr>
      <w:r>
        <w:t xml:space="preserve">Owner's drawings reduce owner's equity and are not treated as business expenses.</w:t>
      </w:r>
    </w:p>
    <w:p>
      <w:pPr>
        <w:pStyle w:val="Heading2"/>
        <w:spacing w:after="120" w:before="260"/>
      </w:pPr>
      <w:r>
        <w:t xml:space="preserve">4.14 Cash &amp; Bank Ledger</w:t>
      </w:r>
    </w:p>
    <w:p>
      <w:pPr>
        <w:pStyle w:val="Heading3"/>
        <w:spacing w:after="100" w:before="200"/>
      </w:pPr>
      <w:r>
        <w:t xml:space="preserve">Cash Account — auto-updates 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Owner's Drawings</w:t>
      </w:r>
    </w:p>
    <w:p>
      <w:pPr>
        <w:pStyle w:val="Heading3"/>
        <w:spacing w:after="100" w:before="200"/>
      </w:pPr>
      <w:r>
        <w:t xml:space="preserve">Bank Account — auto-updates after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Payments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Deposits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Withdrawals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Bank reconciliation feature — compare system bank ledger against actual bank statement entries and flag discrepancies.</w:t>
      </w:r>
    </w:p>
    <w:p>
      <w:pPr>
        <w:pStyle w:val="Heading2"/>
        <w:spacing w:after="120" w:before="260"/>
      </w:pPr>
      <w:r>
        <w:t xml:space="preserve">4.15 Reports &amp; Historical Data</w:t>
      </w:r>
    </w:p>
    <w:p>
      <w:pPr>
        <w:spacing w:after="120"/>
      </w:pPr>
      <w:r>
        <w:t xml:space="preserve">All historical data — purchases, sales, expenses, driver collections, weight fees, and activity logs — is retained indefinitely and never automatically deleted or archived out of the system.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record is date-tagged; all reports support filtering by any past year, not only the current year.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Year-over-year comparison view (e.g., Annual Net Profit across multiple years side by side).</w:t>
      </w:r>
    </w:p>
    <w:p>
      <w:pPr>
        <w:pStyle w:val="Heading3"/>
        <w:spacing w:after="100" w:before="200"/>
      </w:pPr>
      <w:r>
        <w:t xml:space="preserve">UCO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/ Monthly / Annual Purchases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Container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/ Annual Gross Profit</w:t>
      </w:r>
    </w:p>
    <w:p>
      <w:pPr>
        <w:pStyle w:val="Heading3"/>
        <w:spacing w:after="100" w:before="200"/>
      </w:pPr>
      <w:r>
        <w:t xml:space="preserve">UEO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Daily / Monthly / Annual Purchases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 Sales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Tanker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/ Annual Gross Profit</w:t>
      </w:r>
    </w:p>
    <w:p>
      <w:pPr>
        <w:pStyle w:val="Heading3"/>
        <w:spacing w:after="100" w:before="200"/>
      </w:pPr>
      <w:r>
        <w:t xml:space="preserve">Company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Combined Purchases, Combined Sales, Total Expenses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Salary Report, Owner's Drawings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Ledger, Bank Ledger, Bank Reconciliation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Weight Fee Report (incl. refund aging)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Accounts Receivable / Payable Aging Report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Monthly / Annual Net Profit &amp; Loss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reports support PDF export, Excel export, and printing.</w:t>
      </w:r>
    </w:p>
    <w:p>
      <w:pPr>
        <w:pStyle w:val="Heading2"/>
        <w:spacing w:after="120" w:before="260"/>
      </w:pPr>
      <w:r>
        <w:t xml:space="preserve">4.16 Activity Log</w:t>
      </w:r>
    </w:p>
    <w:p>
      <w:pPr>
        <w:pStyle w:val="Heading3"/>
        <w:spacing w:after="100" w:before="200"/>
      </w:pPr>
      <w:r>
        <w:t xml:space="preserve">Fields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 &amp;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Modified</w:t>
      </w:r>
    </w:p>
    <w:p>
      <w:pPr>
        <w:spacing w:after="120"/>
      </w:pPr>
      <w:r>
        <w:t xml:space="preserve">Retained in full for all years, without truncation, to support audits of historical record changes.</w:t>
      </w:r>
    </w:p>
    <w:p>
      <w:pPr>
        <w:pStyle w:val="Heading2"/>
        <w:spacing w:after="120" w:before="260"/>
      </w:pPr>
      <w:r>
        <w:t xml:space="preserve">4.17 Notifications &amp;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customer/supplier payments approaching or past due.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Driver vacation ending soon.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fee refund status changes or refunds pending beyond threshold.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stock alerts per oil type.</w:t>
      </w:r>
    </w:p>
    <w:p>
      <w:pPr>
        <w:pStyle w:val="Heading2"/>
        <w:spacing w:after="120" w:before="260"/>
      </w:pPr>
      <w:r>
        <w:t xml:space="preserve">4.18 Settings (Administrator Only)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and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Expense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Government Fee Name / Label (e.g., "Weight Fee")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Low-stock alert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Year-end lock policy (see Section 6.1)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 &amp; Restore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Preferences</w:t>
      </w:r>
    </w:p>
    <w:p>
      <w:pPr>
        <w:pStyle w:val="Heading1"/>
        <w:spacing w:after="160" w:before="360"/>
      </w:pPr>
      <w:r>
        <w:t xml:space="preserve">5. Non-Functional Requirements</w:t>
      </w:r>
    </w:p>
    <w:p>
      <w:pPr>
        <w:pStyle w:val="Heading2"/>
        <w:spacing w:after="120" w:before="260"/>
      </w:pPr>
      <w:r>
        <w:t xml:space="preserve">5.1 Historical Data Retention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record is ever auto-deleted; all years of data remain fully accessible.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 indexed by date, oil type, and driver/customer so historical-year reports remain fast to load as data volume grows over multiple years.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Automatic, dated backups (not solely manual) given the indefinite-retention policy.</w:t>
      </w:r>
    </w:p>
    <w:p>
      <w:pPr>
        <w:pStyle w:val="Heading2"/>
        <w:spacing w:after="120" w:before="260"/>
      </w:pPr>
      <w:r>
        <w:t xml:space="preserve">5.2 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and current-month reports should load in under 2 seconds under normal office network conditions.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Historical/multi-year reports should load in under 5 seconds even as record volume grows into the tens of thousands of rows.</w:t>
      </w:r>
    </w:p>
    <w:p>
      <w:pPr>
        <w:pStyle w:val="Heading2"/>
        <w:spacing w:after="120" w:before="260"/>
      </w:pPr>
      <w:r>
        <w:t xml:space="preserve">5.3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Role-based access control enforced at both the module and field level (e.g., Data Entry Operator should not see profit margins).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Two-factor authentication recommended for Administrator and Accountant roles.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financial data stays on company premises via local network hosting (Section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audit trail via Activity Log (Section 4.16).</w:t>
      </w:r>
    </w:p>
    <w:p>
      <w:pPr>
        <w:pStyle w:val="Heading2"/>
        <w:spacing w:after="120" w:before="260"/>
      </w:pPr>
      <w:r>
        <w:t xml:space="preserve">5.4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System should be available during business hours on the local office network with minimal downtime, given confirmed reliable office internet/network conditions.</w:t>
      </w:r>
    </w:p>
    <w:p>
      <w:pPr>
        <w:pStyle w:val="Heading2"/>
        <w:spacing w:after="120" w:before="260"/>
      </w:pPr>
      <w:r>
        <w:t xml:space="preserve">5.5 Usability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Browser-based access from any office laptop without per-machine installation.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Consistent role-based views so Accountant, Admin, and Auditor each see an interface appropriate to their access level.</w:t>
      </w:r>
    </w:p>
    <w:p>
      <w:pPr>
        <w:pStyle w:val="Heading1"/>
        <w:spacing w:after="160" w:before="360"/>
      </w:pPr>
      <w:r>
        <w:t xml:space="preserve">6. Open Decisions for Stakeholder Confirmation</w:t>
      </w:r>
    </w:p>
    <w:p>
      <w:pPr>
        <w:pStyle w:val="Heading2"/>
        <w:spacing w:after="120" w:before="260"/>
      </w:pPr>
      <w:r>
        <w:t xml:space="preserve">6.1 Editability of Past-Year Records</w:t>
      </w:r>
    </w:p>
    <w:p>
      <w:pPr>
        <w:spacing w:after="120"/>
      </w:pPr>
      <w:r>
        <w:t xml:space="preserve">A decision is needed on whether records from closed financial years should remain editable, or be locked to read-only once the year closes (with corrections handled via a separate adjustment entry) — the latter is generally preferred for audit integrity.</w:t>
      </w:r>
    </w:p>
    <w:p>
      <w:pPr>
        <w:pStyle w:val="Heading2"/>
        <w:spacing w:after="120" w:before="260"/>
      </w:pPr>
      <w:r>
        <w:t xml:space="preserve">6.2 Remote Access</w:t>
      </w:r>
    </w:p>
    <w:p>
      <w:pPr>
        <w:spacing w:after="120"/>
      </w:pPr>
      <w:r>
        <w:t xml:space="preserve">Not required at this stage per stakeholder confirmation. Should be revisited if auditors or admin later require off-site access; the local web architecture supports adding this via VPN without redesign.</w:t>
      </w:r>
    </w:p>
    <w:p>
      <w:pPr>
        <w:pStyle w:val="Heading2"/>
        <w:spacing w:after="120" w:before="260"/>
      </w:pPr>
      <w:r>
        <w:t xml:space="preserve">6.3 Optional Roles</w:t>
      </w:r>
    </w:p>
    <w:p>
      <w:pPr>
        <w:spacing w:after="120"/>
      </w:pPr>
      <w:r>
        <w:t xml:space="preserve">Manager and Data Entry Operator roles are included in the original specification but are not currently required given data entry is confirmed as accountant-only. Recommend keeping them in the role framework for future flexibility, even if unused initially.</w:t>
      </w:r>
    </w:p>
    <w:p>
      <w:pPr>
        <w:pStyle w:val="Heading1"/>
        <w:spacing w:after="160" w:before="360"/>
      </w:pPr>
      <w:r>
        <w:t xml:space="preserve">7. System Navigation Structure</w:t>
      </w:r>
    </w:p>
    <w:p>
      <w:pPr>
        <w:spacing w:after="120"/>
      </w:pPr>
      <w: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Cooking Oil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Purchases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Driver Collections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Direct Agreements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Export Sales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Containers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Inventory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Engine Oil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Purchases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Driver Collections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Direct Agreements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Local Sales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Tankers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Inventory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Finance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Expenses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Salaries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Owner's Drawings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Cash &amp; Bank (incl. Reconciliation)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Government Weight Fee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Profit &amp; Loss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Financial Reports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Administration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Drivers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Customers &amp; Suppliers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Users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Activity Log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Notifications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Settings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ORCMS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2026-07-25T13:56:32.577Z</dcterms:created>
  <dcterms:modified xsi:type="dcterms:W3CDTF">2026-07-25T13:56:32.590Z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