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1F4E79"/>
          <w:sz w:val="64"/>
          <w:szCs w:val="64"/>
        </w:rPr>
        <w:t xml:space="preserve">STEPLESS</w:t>
      </w:r>
    </w:p>
    <w:p>
      <w:pPr>
        <w:spacing w:after="60"/>
        <w:jc w:val="center"/>
      </w:pPr>
      <w:r>
        <w:rPr>
          <w:color w:val="555555"/>
          <w:sz w:val="30"/>
          <w:szCs w:val="30"/>
        </w:rPr>
        <w:t xml:space="preserve">Pesquisa Aprofundada de Produto e Estratégia</w:t>
      </w:r>
    </w:p>
    <w:p>
      <w:pPr>
        <w:jc w:val="center"/>
      </w:pPr>
      <w:r>
        <w:rPr>
          <w:i/>
          <w:iCs/>
          <w:color w:val="777777"/>
          <w:sz w:val="24"/>
          <w:szCs w:val="24"/>
        </w:rPr>
        <w:t xml:space="preserve">dApp de acessibilidade descentralizada na Arc Testnet</w:t>
      </w:r>
    </w:p>
    <w:p>
      <w:pPr>
        <w:pBdr>
          <w:top w:val="single" w:color="1F4E79" w:sz="6" w:space="6"/>
        </w:pBdr>
        <w:spacing w:before="2400"/>
        <w:jc w:val="center"/>
      </w:pPr>
      <w:r>
        <w:rPr>
          <w:color w:val="555555"/>
          <w:sz w:val="22"/>
          <w:szCs w:val="22"/>
        </w:rPr>
        <w:t xml:space="preserve">Concorrentes · Tokenomics · Segurança de contratos · Crescimento</w:t>
      </w:r>
    </w:p>
    <w:p>
      <w:pPr>
        <w:spacing w:before="200"/>
        <w:jc w:val="center"/>
      </w:pPr>
      <w:r>
        <w:rPr>
          <w:color w:val="555555"/>
          <w:sz w:val="22"/>
          <w:szCs w:val="22"/>
        </w:rPr>
        <w:t xml:space="preserve">6 de julho de 2026</w:t>
      </w:r>
    </w:p>
    <w:p>
      <w:r>
        <w:br w:type="page"/>
      </w:r>
    </w:p>
    <w:p>
      <w:pPr>
        <w:pStyle w:val="Heading1"/>
      </w:pPr>
      <w:r>
        <w:t xml:space="preserve">Sumário</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Resumo executivo</w:t>
      </w:r>
    </w:p>
    <w:p>
      <w:pPr>
        <w:spacing w:after="140" w:line="276"/>
      </w:pPr>
      <w:r>
        <w:t xml:space="preserve">O Stepless resolve um problema real com um design incomum para o setor. Enquanto a maioria dos apps "X-to-earn" paga em um </w:t>
      </w:r>
      <w:r>
        <w:rPr>
          <w:b/>
          <w:bCs/>
        </w:rPr>
        <w:t xml:space="preserve">token próprio e inflacionário</w:t>
      </w:r>
      <w:r>
        <w:t xml:space="preserve"> — modelo que já colapsou repetidamente — o Stepless recompensa em </w:t>
      </w:r>
      <w:r>
        <w:rPr>
          <w:b/>
          <w:bCs/>
        </w:rPr>
        <w:t xml:space="preserve">USDC a partir de uma tesouraria fixa</w:t>
      </w:r>
      <w:r>
        <w:t xml:space="preserve">. Isso o torna estruturalmente imune ao "death spiral" que destruiu o STEPN, mas o expõe a um problema diferente: </w:t>
      </w:r>
      <w:r>
        <w:rPr>
          <w:b/>
          <w:bCs/>
        </w:rPr>
        <w:t xml:space="preserve">autonomia de caixa (runway)</w:t>
      </w:r>
      <w:r>
        <w:t xml:space="preserve">. A recompensa não se autofinancia; ela drena um saldo que precisa ser reabastecido.</w:t>
      </w:r>
    </w:p>
    <w:p>
      <w:pPr>
        <w:spacing w:after="140" w:line="276"/>
      </w:pPr>
      <w:r>
        <w:t xml:space="preserve">As quatro frentes desta pesquisa convergem em uma conclusão: o motor técnico já funciona ponta a ponta, então a próxima etapa não é mais engenharia de contratos, e sim </w:t>
      </w:r>
      <w:r>
        <w:rPr>
          <w:b/>
          <w:bCs/>
        </w:rPr>
        <w:t xml:space="preserve">financiamento sustentável, defesa contra fraude (sybil) e um caminho de aquisição de usuários</w:t>
      </w:r>
      <w:r>
        <w:t xml:space="preserve"> que não dependa de especulação. O programa de grants da Circle para o ecossistema Arc é, hoje, a alavanca mais alinhada ao projeto.</w:t>
      </w:r>
    </w:p>
    <w:p>
      <w:pPr>
        <w:pStyle w:val="Heading2"/>
      </w:pPr>
      <w:r>
        <w:t xml:space="preserve">Principais conclusões por frente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jc w:val="left"/>
            </w:pPr>
            <w:r>
              <w:rPr>
                <w:b/>
                <w:bCs/>
                <w:color w:val="FFFFFF"/>
                <w:sz w:val="20"/>
                <w:szCs w:val="20"/>
              </w:rPr>
              <w:t xml:space="preserve">Frente</w:t>
            </w:r>
          </w:p>
        </w:tc>
        <w:tc>
          <w:tcPr>
            <w:tcW w:type="dxa" w:w="69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jc w:val="left"/>
            </w:pPr>
            <w:r>
              <w:rPr>
                <w:b/>
                <w:bCs/>
                <w:color w:val="FFFFFF"/>
                <w:sz w:val="20"/>
                <w:szCs w:val="20"/>
              </w:rPr>
              <w:t xml:space="preserve">Conclusão central</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Concorrentes</w:t>
            </w:r>
          </w:p>
        </w:tc>
        <w:tc>
          <w:tcPr>
            <w:tcW w:type="dxa" w:w="6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Wheelmap (&gt;2 mi de locais) e AccessNow (&gt;200 mil, 35 países) provam que existe demanda e comunidade — mas nenhum paga o contribuidor. O diferencial do Stepless é recompensa financeira direta.</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Tokenomics</w:t>
            </w:r>
          </w:p>
        </w:tc>
        <w:tc>
          <w:tcPr>
            <w:tcW w:type="dxa" w:w="6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Pagar em USDC de tesouraria evita o colapso do STEPN, mas exige fonte de recarga (grants/receita). O risco não é inflação; é ficar sem caixa e virar alvo de farming.</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Segurança</w:t>
            </w:r>
          </w:p>
        </w:tc>
        <w:tc>
          <w:tcPr>
            <w:tcW w:type="dxa" w:w="6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O relayer único é o maior risco: ponto único de falha e de confiança. Prioridades: multisig no admin, timelock e defesa anti-sybil na verificação.</w:t>
            </w:r>
          </w:p>
        </w:tc>
      </w:tr>
      <w:tr>
        <w:trPr>
          <w:tblHeader w:val="false"/>
        </w:trPr>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Crescimento</w:t>
            </w:r>
          </w:p>
        </w:tc>
        <w:tc>
          <w:tcPr>
            <w:tcW w:type="dxa" w:w="69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Modelo do Hivemapper (referral + campeões locais) + parcerias com ONGs de acessibilidade e grant da Circle/Arc formam o caminho mais realista.</w:t>
            </w:r>
          </w:p>
        </w:tc>
      </w:tr>
    </w:tbl>
    <w:p>
      <w:r>
        <w:br w:type="page"/>
      </w:r>
    </w:p>
    <w:p>
      <w:pPr>
        <w:pStyle w:val="Heading1"/>
      </w:pPr>
      <w:r>
        <w:t xml:space="preserve">1. Cenário competitivo e modelos "map-to-earn"</w:t>
      </w:r>
    </w:p>
    <w:p>
      <w:pPr>
        <w:pStyle w:val="Heading2"/>
      </w:pPr>
      <w:r>
        <w:t xml:space="preserve">1.1 Apps de mapeamento de acessibilidade (concorrentes de propósito)</w:t>
      </w:r>
    </w:p>
    <w:p>
      <w:pPr>
        <w:spacing w:after="140" w:line="276"/>
      </w:pPr>
      <w:r>
        <w:t xml:space="preserve">O Stepless compete pelo mesmo propósito de dois líderes consolidados, ambos </w:t>
      </w:r>
      <w:r>
        <w:rPr>
          <w:b/>
          <w:bCs/>
        </w:rPr>
        <w:t xml:space="preserve">colaborativos mas sem recompensa financeira</w:t>
      </w:r>
      <w:r>
        <w:t xml:space="preserve">:</w:t>
      </w:r>
    </w:p>
    <w:p>
      <w:pPr>
        <w:pStyle w:val="ListParagraph"/>
        <w:numPr>
          <w:ilvl w:val="0"/>
          <w:numId w:val="2"/>
        </w:numPr>
        <w:spacing w:after="80" w:line="270"/>
      </w:pPr>
      <w:r>
        <w:rPr>
          <w:b/>
          <w:bCs/>
        </w:rPr>
        <w:t xml:space="preserve">Wheelmap</w:t>
      </w:r>
      <w:r>
        <w:t xml:space="preserve"> (Alemanha, Sozialhelden): mais de </w:t>
      </w:r>
      <w:r>
        <w:rPr>
          <w:b/>
          <w:bCs/>
        </w:rPr>
        <w:t xml:space="preserve">2 milhões de locais</w:t>
      </w:r>
      <w:r>
        <w:t xml:space="preserve"> avaliados por colaboração aberta, com sistema de semáforo (verde/amarelo/vermelho) para acessibilidade em cadeira de rodas, integrado ao OpenStreetMap.</w:t>
      </w:r>
    </w:p>
    <w:p>
      <w:pPr>
        <w:pStyle w:val="ListParagraph"/>
        <w:numPr>
          <w:ilvl w:val="0"/>
          <w:numId w:val="2"/>
        </w:numPr>
        <w:spacing w:after="80" w:line="270"/>
      </w:pPr>
      <w:r>
        <w:rPr>
          <w:b/>
          <w:bCs/>
        </w:rPr>
        <w:t xml:space="preserve">AccessNow</w:t>
      </w:r>
      <w:r>
        <w:t xml:space="preserve"> (Canadá, fundado por Maayan Ziv): mais de </w:t>
      </w:r>
      <w:r>
        <w:rPr>
          <w:b/>
          <w:bCs/>
        </w:rPr>
        <w:t xml:space="preserve">200 mil locais em 35 países</w:t>
      </w:r>
      <w:r>
        <w:t xml:space="preserve">, com filtros que foram além da mobilidade — braille, banheiros neutros, aceitação de cães de serviço, ambientes silenciosos.</w:t>
      </w:r>
    </w:p>
    <w:p>
      <w:pPr>
        <w:pStyle w:val="ListParagraph"/>
        <w:numPr>
          <w:ilvl w:val="0"/>
          <w:numId w:val="2"/>
        </w:numPr>
        <w:spacing w:after="80" w:line="270"/>
      </w:pPr>
      <w:r>
        <w:t xml:space="preserve">Outros: </w:t>
      </w:r>
      <w:r>
        <w:rPr>
          <w:b/>
          <w:bCs/>
        </w:rPr>
        <w:t xml:space="preserve">AXS Map</w:t>
      </w:r>
      <w:r>
        <w:t xml:space="preserve"> (reviews de acessibilidade estilo Yelp) e apps regionais. O padrão do setor é a mesma limitação de todo dado colaborativo: sustentar a motivação do contribuidor ao longo do tempo.</w:t>
      </w:r>
    </w:p>
    <w:p>
      <w:pPr>
        <w:spacing w:after="140" w:line="276"/>
      </w:pPr>
      <w:r>
        <w:rPr>
          <w:b/>
          <w:bCs/>
        </w:rPr>
        <w:t xml:space="preserve">Leitura estratégica: </w:t>
      </w:r>
      <w:r>
        <w:t xml:space="preserve">esses apps validam que há demanda e comunidade dispostas a mapear acessibilidade — de graça. O Stepless não precisa provar que o problema importa; precisa provar que </w:t>
      </w:r>
      <w:r>
        <w:rPr>
          <w:b/>
          <w:bCs/>
        </w:rPr>
        <w:t xml:space="preserve">recompensa em dinheiro real acelera e amplia</w:t>
      </w:r>
      <w:r>
        <w:t xml:space="preserve"> a coleta, atraindo quem não contribuiria só por altruísmo. Esse é o argumento central de qualquer pitch de grant ou parceria.</w:t>
      </w:r>
    </w:p>
    <w:p>
      <w:pPr>
        <w:pStyle w:val="Heading2"/>
      </w:pPr>
      <w:r>
        <w:t xml:space="preserve">1.2 Modelos "X-to-earn" na Web3 (concorrentes de mecânica)</w:t>
      </w:r>
    </w:p>
    <w:p>
      <w:pPr>
        <w:spacing w:after="140" w:line="276"/>
      </w:pPr>
      <w:r>
        <w:t xml:space="preserve">Do lado da mecânica de incentivo, três referências ensinam o que copiar e o que evitar: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rPr>
          <w:tblHeader/>
        </w:trPr>
        <w:tc>
          <w:tcPr>
            <w:tcW w:type="dxa" w:w="19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jc w:val="left"/>
            </w:pPr>
            <w:r>
              <w:rPr>
                <w:b/>
                <w:bCs/>
                <w:color w:val="FFFFFF"/>
                <w:sz w:val="20"/>
                <w:szCs w:val="20"/>
              </w:rPr>
              <w:t xml:space="preserve">Projeto</w:t>
            </w:r>
          </w:p>
        </w:tc>
        <w:tc>
          <w:tcPr>
            <w:tcW w:type="dxa" w:w="24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jc w:val="left"/>
            </w:pPr>
            <w:r>
              <w:rPr>
                <w:b/>
                <w:bCs/>
                <w:color w:val="FFFFFF"/>
                <w:sz w:val="20"/>
                <w:szCs w:val="20"/>
              </w:rPr>
              <w:t xml:space="preserve">Modelo</w:t>
            </w:r>
          </w:p>
        </w:tc>
        <w:tc>
          <w:tcPr>
            <w:tcW w:type="dxa" w:w="50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jc w:val="left"/>
            </w:pPr>
            <w:r>
              <w:rPr>
                <w:b/>
                <w:bCs/>
                <w:color w:val="FFFFFF"/>
                <w:sz w:val="20"/>
                <w:szCs w:val="20"/>
              </w:rPr>
              <w:t xml:space="preserve">Lição para o Stepless</w:t>
            </w:r>
          </w:p>
        </w:tc>
      </w:tr>
      <w:tr>
        <w:trPr>
          <w:tblHeader w:val="false"/>
        </w:trP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Hivemapper</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Drive-to-earn; dashcam gera imagens de ruas, paga em token HONEY; empresas queimam HONEY para comprar dados</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Mapeou 3,6 mi de km em ~8 meses — o que o Google Maps levou uma década para fazer. Prova que incentivo + referral escala coleta geoespacial rápido.</w:t>
            </w:r>
          </w:p>
        </w:tc>
      </w:tr>
      <w:tr>
        <w:trPr>
          <w:tblHeader w:val="false"/>
        </w:trP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STEPN</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Move-to-earn; corre/anda com NFT de tênis, ganha token GST</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Colapso clássico: GST caiu 91% em um mês. Rendimento vinha de novos compradores, não de valor real. Modelo a NÃO copiar.</w:t>
            </w:r>
          </w:p>
        </w:tc>
      </w:tr>
      <w:tr>
        <w:trPr>
          <w:tblHeader w:val="false"/>
        </w:trPr>
        <w:tc>
          <w:tcPr>
            <w:tcW w:type="dxa" w:w="19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Sweatcoin / similares</w:t>
            </w:r>
          </w:p>
        </w:tc>
        <w:tc>
          <w:tcPr>
            <w:tcW w:type="dxa" w:w="24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Passos viram "moeda" com pouca utilidade real</w:t>
            </w:r>
          </w:p>
        </w:tc>
        <w:tc>
          <w:tcPr>
            <w:tcW w:type="dxa" w:w="50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Retenção despenca quando o token não tem demanda genuína. Utilidade &gt; especulação.</w:t>
            </w:r>
          </w:p>
        </w:tc>
      </w:tr>
    </w:tbl>
    <w:p>
      <w:pPr>
        <w:spacing w:after="140" w:line="276"/>
      </w:pPr>
      <w:r>
        <w:rPr>
          <w:b/>
          <w:bCs/>
        </w:rPr>
        <w:t xml:space="preserve">Diferença essencial: </w:t>
      </w:r>
      <w:r>
        <w:t xml:space="preserve">Hivemapper e STEPN pagam em token próprio, cuja sustentabilidade depende de demanda externa por esse token. O Stepless paga em </w:t>
      </w:r>
      <w:r>
        <w:rPr>
          <w:b/>
          <w:bCs/>
        </w:rPr>
        <w:t xml:space="preserve">USDC</w:t>
      </w:r>
      <w:r>
        <w:t xml:space="preserve"> — não há token para desvalorizar nem "breeding" especulativo. Isso elimina de saída a crítica de "ponzinomics" que persegue o setor.</w:t>
      </w:r>
    </w:p>
    <w:p>
      <w:r>
        <w:br w:type="page"/>
      </w:r>
    </w:p>
    <w:p>
      <w:pPr>
        <w:pStyle w:val="Heading1"/>
      </w:pPr>
      <w:r>
        <w:t xml:space="preserve">2. Sustentabilidade de tokenomics</w:t>
      </w:r>
    </w:p>
    <w:p>
      <w:pPr>
        <w:spacing w:after="140" w:line="276"/>
      </w:pPr>
      <w:r>
        <w:t xml:space="preserve">Esta é a frente onde o Stepless é, ao mesmo tempo, mais forte e mais frágil — por razões opostas ao restante do setor.</w:t>
      </w:r>
    </w:p>
    <w:p>
      <w:pPr>
        <w:pStyle w:val="Heading2"/>
      </w:pPr>
      <w:r>
        <w:t xml:space="preserve">2.1 Por que o Stepless escapa do "death spiral"</w:t>
      </w:r>
    </w:p>
    <w:p>
      <w:pPr>
        <w:spacing w:after="140" w:line="276"/>
      </w:pPr>
      <w:r>
        <w:t xml:space="preserve">O colapso do STEPN é o caso didático: o rendimento dos jogadores vinha do </w:t>
      </w:r>
      <w:r>
        <w:rPr>
          <w:b/>
          <w:bCs/>
        </w:rPr>
        <w:t xml:space="preserve">dinheiro de novos jogadores</w:t>
      </w:r>
      <w:r>
        <w:t xml:space="preserve"> entrando no sistema (compra/mint de tênis). Quando o crescimento desacelerou — inevitável — o token GST despencou 91% em um mês e os downloads caíram em sincronia perfeita com o preço. Sistemas que dependem do </w:t>
      </w:r>
      <w:r>
        <w:rPr>
          <w:b/>
          <w:bCs/>
        </w:rPr>
        <w:t xml:space="preserve">ritmo de entrada de novos usuários</w:t>
      </w:r>
      <w:r>
        <w:t xml:space="preserve"> para pagar os antigos são matematicamente insustentáveis.</w:t>
      </w:r>
    </w:p>
    <w:p>
      <w:pPr>
        <w:spacing w:after="140" w:line="276"/>
      </w:pPr>
      <w:r>
        <w:t xml:space="preserve">O Stepless não tem essa dinâmica: o pagamento de 0,10 USDC por local validado sai de uma </w:t>
      </w:r>
      <w:r>
        <w:rPr>
          <w:b/>
          <w:bCs/>
        </w:rPr>
        <w:t xml:space="preserve">tesouraria pré-financiada</w:t>
      </w:r>
      <w:r>
        <w:t xml:space="preserve">, não do bolso de novos usuários. Não há token para inflar, nem promessa de "ganho crescente". É mais próximo de um </w:t>
      </w:r>
      <w:r>
        <w:rPr>
          <w:b/>
          <w:bCs/>
        </w:rPr>
        <w:t xml:space="preserve">programa de bounty / faucet com curadoria</w:t>
      </w:r>
      <w:r>
        <w:t xml:space="preserve"> do que de uma economia especulativa.</w:t>
      </w:r>
    </w:p>
    <w:p>
      <w:pPr>
        <w:pStyle w:val="Heading2"/>
      </w:pPr>
      <w:r>
        <w:t xml:space="preserve">2.2 O risco real: runway e farming</w:t>
      </w:r>
    </w:p>
    <w:p>
      <w:pPr>
        <w:spacing w:after="140" w:line="276"/>
      </w:pPr>
      <w:r>
        <w:t xml:space="preserve">Trocar o risco de inflação pelo risco de tesouraria cria três novas ameaças concretas:</w:t>
      </w:r>
    </w:p>
    <w:p>
      <w:pPr>
        <w:pStyle w:val="ListParagraph"/>
        <w:numPr>
          <w:ilvl w:val="0"/>
          <w:numId w:val="3"/>
        </w:numPr>
        <w:spacing w:after="80" w:line="270"/>
      </w:pPr>
      <w:r>
        <w:rPr>
          <w:b/>
          <w:bCs/>
        </w:rPr>
        <w:t xml:space="preserve">Esgotamento de caixa. </w:t>
      </w:r>
      <w:r>
        <w:t xml:space="preserve">A 0,10 USDC por local, uma tesouraria de 10 USDC paga ~100 validações. Sem uma fonte de recarga (grant, doação, receita), o motor para. É um limite de escala, não de conceito.</w:t>
      </w:r>
    </w:p>
    <w:p>
      <w:pPr>
        <w:pStyle w:val="ListParagraph"/>
        <w:numPr>
          <w:ilvl w:val="0"/>
          <w:numId w:val="3"/>
        </w:numPr>
        <w:spacing w:after="80" w:line="270"/>
      </w:pPr>
      <w:r>
        <w:rPr>
          <w:b/>
          <w:bCs/>
        </w:rPr>
        <w:t xml:space="preserve">Farming / sybil. </w:t>
      </w:r>
      <w:r>
        <w:t xml:space="preserve">Recompensa em dinheiro real, sem custo de entrada, é ímã para fraude: um ator cria várias contas e submete locais falsos ou duplicados para drenar a tesouraria. Tratado em detalhe na Seção 3.</w:t>
      </w:r>
    </w:p>
    <w:p>
      <w:pPr>
        <w:pStyle w:val="ListParagraph"/>
        <w:numPr>
          <w:ilvl w:val="0"/>
          <w:numId w:val="3"/>
        </w:numPr>
        <w:spacing w:after="80" w:line="270"/>
      </w:pPr>
      <w:r>
        <w:rPr>
          <w:b/>
          <w:bCs/>
        </w:rPr>
        <w:t xml:space="preserve">Qualidade vs. volume. </w:t>
      </w:r>
      <w:r>
        <w:t xml:space="preserve">Pagar por volume incentiva quantidade, não veracidade. A literatura de DePIN recomenda recompensar o valor genuíno da contribuição — via multiplicadores de reputação, verificação em duas etapas ou validação humana por amostragem — em vez de pagar cada submissão cegamente.</w:t>
      </w:r>
    </w:p>
    <w:p>
      <w:pPr>
        <w:pStyle w:val="Heading2"/>
      </w:pPr>
      <w:r>
        <w:t xml:space="preserve">2.3 O que o setor DePIN aprendeu (e o que aproveitar)</w:t>
      </w:r>
    </w:p>
    <w:p>
      <w:pPr>
        <w:spacing w:after="140" w:line="276"/>
      </w:pPr>
      <w:r>
        <w:t xml:space="preserve">O relatório setorial de DePIN da Messari (Q1 2025) aponta que ~60% dos tokens ativos têm halving ou redução de emissão programados, num movimento claro de </w:t>
      </w:r>
      <w:r>
        <w:rPr>
          <w:b/>
          <w:bCs/>
        </w:rPr>
        <w:t xml:space="preserve">subsídio → receita real</w:t>
      </w:r>
      <w:r>
        <w:t xml:space="preserve">. O segredo aberto do setor: de 650+ projetos e &gt;US$16 bi de market cap, menos de 20 geravam receita real (não denominada em token). A lição aplicável ao Stepless: </w:t>
      </w:r>
      <w:r>
        <w:rPr>
          <w:b/>
          <w:bCs/>
        </w:rPr>
        <w:t xml:space="preserve">recompensa só é sustentável quando conectada a uma fonte de valor real</w:t>
      </w:r>
      <w:r>
        <w:t xml:space="preserve"> — aqui, isso significa que alguém precisa querer pagar pelos dados de acessibilidade (municípios, ONGs, apps de mobilidade, varejo, seguradoras).</w:t>
      </w:r>
    </w:p>
    <w:p>
      <w:pPr>
        <w:spacing w:after="140" w:line="276"/>
      </w:pPr>
      <w:r>
        <w:rPr>
          <w:b/>
          <w:bCs/>
        </w:rPr>
        <w:t xml:space="preserve">Recomendação de modelo: </w:t>
      </w:r>
      <w:r>
        <w:t xml:space="preserve">posicionar o Stepless não como "ganhe dinheiro andando", mas como </w:t>
      </w:r>
      <w:r>
        <w:rPr>
          <w:b/>
          <w:bCs/>
        </w:rPr>
        <w:t xml:space="preserve">infraestrutura de dados de acessibilidade financiada por quem consome esses dados</w:t>
      </w:r>
      <w:r>
        <w:t xml:space="preserve">. A recompensa em USDC é a ponta visível; a sustentabilidade vem do lado da demanda (grant agora, clientes/parceiros depois).</w:t>
      </w:r>
    </w:p>
    <w:p>
      <w:r>
        <w:br w:type="page"/>
      </w:r>
    </w:p>
    <w:p>
      <w:pPr>
        <w:pStyle w:val="Heading1"/>
      </w:pPr>
      <w:r>
        <w:t xml:space="preserve">3. Segurança dos smart contracts</w:t>
      </w:r>
    </w:p>
    <w:p>
      <w:pPr>
        <w:spacing w:after="140" w:line="276"/>
      </w:pPr>
      <w:r>
        <w:t xml:space="preserve">A arquitetura atual — Oracle + RewardDistributor operados por um </w:t>
      </w:r>
      <w:r>
        <w:rPr>
          <w:b/>
          <w:bCs/>
        </w:rPr>
        <w:t xml:space="preserve">relayer único no backend</w:t>
      </w:r>
      <w:r>
        <w:t xml:space="preserve"> que também é admin dos contratos — é pragmática e funcional, mas concentra risco. As recomendações abaixo estão ordenadas por prioridade.</w:t>
      </w:r>
    </w:p>
    <w:p>
      <w:pPr>
        <w:pStyle w:val="Heading2"/>
      </w:pPr>
      <w:r>
        <w:t xml:space="preserve">3.1 Risco nº 1: centralização do relayer/admin</w:t>
      </w:r>
    </w:p>
    <w:p>
      <w:pPr>
        <w:spacing w:after="140" w:line="276"/>
      </w:pPr>
      <w:r>
        <w:t xml:space="preserve">Hoje um único endereço (a chave em </w:t>
      </w:r>
      <w:r>
        <w:rPr>
          <w:rFonts w:ascii="Consolas" w:cs="Consolas" w:eastAsia="Consolas" w:hAnsi="Consolas"/>
        </w:rPr>
        <w:t xml:space="preserve">RELAYER_PRIVATE_KEY</w:t>
      </w:r>
      <w:r>
        <w:t xml:space="preserve">) registra locais, verifica contribuições e é dono dos contratos. Isso é um </w:t>
      </w:r>
      <w:r>
        <w:rPr>
          <w:b/>
          <w:bCs/>
        </w:rPr>
        <w:t xml:space="preserve">ponto único de falha e de confiança</w:t>
      </w:r>
      <w:r>
        <w:t xml:space="preserve">: se a chave vazar (como já aconteceu uma vez, forçando a migração para os contratos v3), um atacante controla o oráculo, a tesouraria e o admin. A manipulação de oráculo é, segundo a OWASP, o segundo maior risco de Web3, associado a centenas de milhões drenados em DeFi.</w:t>
      </w:r>
    </w:p>
    <w:p>
      <w:pPr>
        <w:spacing w:after="140" w:line="276"/>
      </w:pPr>
      <w:r>
        <w:t xml:space="preserve">Mitigações, em ordem:</w:t>
      </w:r>
    </w:p>
    <w:p>
      <w:pPr>
        <w:pStyle w:val="ListParagraph"/>
        <w:numPr>
          <w:ilvl w:val="0"/>
          <w:numId w:val="2"/>
        </w:numPr>
        <w:spacing w:after="80" w:line="270"/>
      </w:pPr>
      <w:r>
        <w:rPr>
          <w:b/>
          <w:bCs/>
        </w:rPr>
        <w:t xml:space="preserve">Multisig no admin. </w:t>
      </w:r>
      <w:r>
        <w:t xml:space="preserve">Migrar o papel onlyAdmin de uma EOA única para uma carteira multisig (ex.: Safe 2-de-3). Separa "quem opera o relayer no dia a dia" de "quem pode trocar parâmetros críticos ou sacar a tesouraria".</w:t>
      </w:r>
    </w:p>
    <w:p>
      <w:pPr>
        <w:pStyle w:val="ListParagraph"/>
        <w:numPr>
          <w:ilvl w:val="0"/>
          <w:numId w:val="2"/>
        </w:numPr>
        <w:spacing w:after="80" w:line="270"/>
      </w:pPr>
      <w:r>
        <w:rPr>
          <w:b/>
          <w:bCs/>
        </w:rPr>
        <w:t xml:space="preserve">Separar papéis (role-based access). </w:t>
      </w:r>
      <w:r>
        <w:t xml:space="preserve">O relayer que assina o registro de locais não deveria ser o mesmo endereço com poder de mudar autorizações e mover fundos. Padrão recomendado: RBAC com contas distintas para operação, verificação e administração.</w:t>
      </w:r>
    </w:p>
    <w:p>
      <w:pPr>
        <w:pStyle w:val="ListParagraph"/>
        <w:numPr>
          <w:ilvl w:val="0"/>
          <w:numId w:val="2"/>
        </w:numPr>
        <w:spacing w:after="80" w:line="270"/>
      </w:pPr>
      <w:r>
        <w:rPr>
          <w:b/>
          <w:bCs/>
        </w:rPr>
        <w:t xml:space="preserve">Timelock em ações críticas. </w:t>
      </w:r>
      <w:r>
        <w:t xml:space="preserve">Trocas de authorizedCaller, saque da tesouraria e upgrade de endereço devem passar por um atraso temporal — dá tempo de reagir a um vazamento antes que o dano se concretize.</w:t>
      </w:r>
    </w:p>
    <w:p>
      <w:pPr>
        <w:pStyle w:val="ListParagraph"/>
        <w:numPr>
          <w:ilvl w:val="0"/>
          <w:numId w:val="2"/>
        </w:numPr>
        <w:spacing w:after="80" w:line="270"/>
      </w:pPr>
      <w:r>
        <w:rPr>
          <w:b/>
          <w:bCs/>
        </w:rPr>
        <w:t xml:space="preserve">Higiene de chave. </w:t>
      </w:r>
      <w:r>
        <w:t xml:space="preserve">A chave já vazou no histórico do git uma vez. Garantir que RELAYER_PRIVATE_KEY nunca entre no repositório, rotação documentada (rodar a fase promote de /api/rotate-admin ANTES de trocar a env var) e, idealmente, um signer gerenciado (KMS/HSM) em vez de chave em texto na Vercel.</w:t>
      </w:r>
    </w:p>
    <w:p>
      <w:pPr>
        <w:pStyle w:val="Heading2"/>
      </w:pPr>
      <w:r>
        <w:t xml:space="preserve">3.2 Risco nº 2: sybil e dados falsos</w:t>
      </w:r>
    </w:p>
    <w:p>
      <w:pPr>
        <w:spacing w:after="140" w:line="276"/>
      </w:pPr>
      <w:r>
        <w:t xml:space="preserve">Como a recompensa é dinheiro real e a verificação é feita pelo próprio backend, o vetor mais provável de ataque econômico é </w:t>
      </w:r>
      <w:r>
        <w:rPr>
          <w:b/>
          <w:bCs/>
        </w:rPr>
        <w:t xml:space="preserve">sybil</w:t>
      </w:r>
      <w:r>
        <w:t xml:space="preserve">: muitas identidades submetendo locais inventados ou duplicados. A pesquisa acadêmica de </w:t>
      </w:r>
      <w:r>
        <w:rPr>
          <w:b/>
          <w:bCs/>
        </w:rPr>
        <w:t xml:space="preserve">Proof-of-Location resistente a sybil</w:t>
      </w:r>
      <w:r>
        <w:t xml:space="preserve"> sugere exigir uma prova custosa por submissão (quebra-cabeças computacionais, verificação por infraestrutura próxima) para que uma máquina não consiga forjar muitas localizações em paralelo.</w:t>
      </w:r>
    </w:p>
    <w:p>
      <w:pPr>
        <w:spacing w:after="140" w:line="276"/>
      </w:pPr>
      <w:r>
        <w:t xml:space="preserve">Adaptado à realidade do Stepless (sem RSUs de trânsito), as defesas viáveis são:</w:t>
      </w:r>
    </w:p>
    <w:p>
      <w:pPr>
        <w:pStyle w:val="ListParagraph"/>
        <w:numPr>
          <w:ilvl w:val="0"/>
          <w:numId w:val="2"/>
        </w:numPr>
        <w:spacing w:after="80" w:line="270"/>
      </w:pPr>
      <w:r>
        <w:t xml:space="preserve">Exigir </w:t>
      </w:r>
      <w:r>
        <w:rPr>
          <w:b/>
          <w:bCs/>
        </w:rPr>
        <w:t xml:space="preserve">foto com metadados / prova de presença</w:t>
      </w:r>
      <w:r>
        <w:t xml:space="preserve"> (o EXIF hoje está com EXIF_REQUIRED=false — reativar como sinal, não como única barreira).</w:t>
      </w:r>
    </w:p>
    <w:p>
      <w:pPr>
        <w:pStyle w:val="ListParagraph"/>
        <w:numPr>
          <w:ilvl w:val="0"/>
          <w:numId w:val="2"/>
        </w:numPr>
        <w:spacing w:after="80" w:line="270"/>
      </w:pPr>
      <w:r>
        <w:t xml:space="preserve">Verificação em duas etapas: submissão entra como </w:t>
      </w:r>
      <w:r>
        <w:rPr>
          <w:b/>
          <w:bCs/>
        </w:rPr>
        <w:t xml:space="preserve">pendente</w:t>
      </w:r>
      <w:r>
        <w:t xml:space="preserve">; pagamento só após validação (humana por amostragem, cruzamento com OpenStreetMap, ou consenso de múltiplos contribuidores no mesmo ponto).</w:t>
      </w:r>
    </w:p>
    <w:p>
      <w:pPr>
        <w:pStyle w:val="ListParagraph"/>
        <w:numPr>
          <w:ilvl w:val="0"/>
          <w:numId w:val="2"/>
        </w:numPr>
        <w:spacing w:after="80" w:line="270"/>
      </w:pPr>
      <w:r>
        <w:t xml:space="preserve">Deduplicação geográfica: rejeitar coordenadas quase idênticas a locais já pagos (as coords já são empacotadas como uint256; dá para indexar e comparar).</w:t>
      </w:r>
    </w:p>
    <w:p>
      <w:pPr>
        <w:pStyle w:val="ListParagraph"/>
        <w:numPr>
          <w:ilvl w:val="0"/>
          <w:numId w:val="2"/>
        </w:numPr>
        <w:spacing w:after="80" w:line="270"/>
      </w:pPr>
      <w:r>
        <w:t xml:space="preserve">Reputação por endereço: multiplicador de recompensa cresce com histórico validado; contas novas ganham menos e passam por mais escrutínio.</w:t>
      </w:r>
    </w:p>
    <w:p>
      <w:pPr>
        <w:pStyle w:val="ListParagraph"/>
        <w:numPr>
          <w:ilvl w:val="0"/>
          <w:numId w:val="2"/>
        </w:numPr>
        <w:spacing w:after="80" w:line="270"/>
      </w:pPr>
      <w:r>
        <w:t xml:space="preserve">Rate limiting por identidade/IP no backend antes mesmo de tocar o contrato.</w:t>
      </w:r>
    </w:p>
    <w:p>
      <w:pPr>
        <w:pStyle w:val="Heading2"/>
      </w:pPr>
      <w:r>
        <w:t xml:space="preserve">3.3 Risco nº 3: auditoria e o Oracle imutável</w:t>
      </w:r>
    </w:p>
    <w:p>
      <w:pPr>
        <w:pStyle w:val="ListParagraph"/>
        <w:numPr>
          <w:ilvl w:val="0"/>
          <w:numId w:val="2"/>
        </w:numPr>
        <w:spacing w:after="80" w:line="270"/>
      </w:pPr>
      <w:r>
        <w:t xml:space="preserve">O endereço do Oracle é </w:t>
      </w:r>
      <w:r>
        <w:rPr>
          <w:b/>
          <w:bCs/>
        </w:rPr>
        <w:t xml:space="preserve">immutable</w:t>
      </w:r>
      <w:r>
        <w:t xml:space="preserve"> dentro do RewardDistributor — bom para segurança (não pode ser trocado por um malicioso), mas significa que todo redeploy do Oracle exige redeploy do Distributor. Documentar isso como invariante (já registrado na memória do projeto) evita a pegadinha do ContributionNotVerified.</w:t>
      </w:r>
    </w:p>
    <w:p>
      <w:pPr>
        <w:pStyle w:val="ListParagraph"/>
        <w:numPr>
          <w:ilvl w:val="0"/>
          <w:numId w:val="2"/>
        </w:numPr>
        <w:spacing w:after="80" w:line="270"/>
      </w:pPr>
      <w:r>
        <w:t xml:space="preserve">Contratos de oráculo pedem </w:t>
      </w:r>
      <w:r>
        <w:rPr>
          <w:b/>
          <w:bCs/>
        </w:rPr>
        <w:t xml:space="preserve">auditoria própria</w:t>
      </w:r>
      <w:r>
        <w:t xml:space="preserve">, separada do resto — as falhas costumam estar na fronteira on-chain/off-chain, que auditorias padrão não cobrem. Antes de valer dinheiro de verdade em mainnet, vale uma auditoria focada (ou ao menos revisão com Slither + testes de invariante).</w:t>
      </w:r>
    </w:p>
    <w:p>
      <w:pPr>
        <w:pStyle w:val="ListParagraph"/>
        <w:numPr>
          <w:ilvl w:val="0"/>
          <w:numId w:val="2"/>
        </w:numPr>
        <w:spacing w:after="80" w:line="270"/>
      </w:pPr>
      <w:r>
        <w:t xml:space="preserve">Cobrir com testes os caminhos de reversão conhecidos (ContributionNotVerified, checksum EIP-55, autorização de caller) para evitar regressões nas próximas migrações.</w:t>
      </w:r>
    </w:p>
    <w:p>
      <w:r>
        <w:br w:type="page"/>
      </w:r>
    </w:p>
    <w:p>
      <w:pPr>
        <w:pStyle w:val="Heading1"/>
      </w:pPr>
      <w:r>
        <w:t xml:space="preserve">4. Crescimento e aquisição de usuários</w:t>
      </w:r>
    </w:p>
    <w:p>
      <w:pPr>
        <w:pStyle w:val="Heading2"/>
      </w:pPr>
      <w:r>
        <w:t xml:space="preserve">4.1 O playbook do Hivemapper (o mais transferível)</w:t>
      </w:r>
    </w:p>
    <w:p>
      <w:pPr>
        <w:spacing w:after="140" w:line="276"/>
      </w:pPr>
      <w:r>
        <w:t xml:space="preserve">O Hivemapper é o análogo mais próximo de "coleta geoespacial incentivada" e cresceu rápido com táticas replicáveis mesmo em escala pequena:</w:t>
      </w:r>
    </w:p>
    <w:p>
      <w:pPr>
        <w:pStyle w:val="ListParagraph"/>
        <w:numPr>
          <w:ilvl w:val="0"/>
          <w:numId w:val="2"/>
        </w:numPr>
        <w:spacing w:after="80" w:line="270"/>
      </w:pPr>
      <w:r>
        <w:rPr>
          <w:b/>
          <w:bCs/>
        </w:rPr>
        <w:t xml:space="preserve">Campeões locais. </w:t>
      </w:r>
      <w:r>
        <w:t xml:space="preserve">Um early adopter comprou 100 dashcams e distribuiu a motoristas de Uber/Lyft, dividindo os tokens ganhos — multiplicou o alcance sem custo de marketing da empresa. Equivalente no Stepless: recrutar líderes comunitários de acessibilidade que engajam grupos inteiros.</w:t>
      </w:r>
    </w:p>
    <w:p>
      <w:pPr>
        <w:pStyle w:val="ListParagraph"/>
        <w:numPr>
          <w:ilvl w:val="0"/>
          <w:numId w:val="2"/>
        </w:numPr>
        <w:spacing w:after="80" w:line="270"/>
      </w:pPr>
      <w:r>
        <w:rPr>
          <w:b/>
          <w:bCs/>
        </w:rPr>
        <w:t xml:space="preserve">Referral com recompensa. </w:t>
      </w:r>
      <w:r>
        <w:t xml:space="preserve">HONEY por indicação, comissão sobre atividade dos indicados, sorteios semanais. Fácil de replicar: bônus em USDC por trazer um novo contribuidor cujo primeiro local seja validado.</w:t>
      </w:r>
    </w:p>
    <w:p>
      <w:pPr>
        <w:pStyle w:val="ListParagraph"/>
        <w:numPr>
          <w:ilvl w:val="0"/>
          <w:numId w:val="2"/>
        </w:numPr>
        <w:spacing w:after="80" w:line="270"/>
      </w:pPr>
      <w:r>
        <w:rPr>
          <w:b/>
          <w:bCs/>
        </w:rPr>
        <w:t xml:space="preserve">"Temporadas" e metas de comunidade. </w:t>
      </w:r>
      <w:r>
        <w:t xml:space="preserve">Campanhas com começo e fim (ex.: "mapeie todas as estações de metrô da cidade X até o fim do mês") criam foco e senso de missão coletiva.</w:t>
      </w:r>
    </w:p>
    <w:p>
      <w:pPr>
        <w:pStyle w:val="Heading2"/>
      </w:pPr>
      <w:r>
        <w:t xml:space="preserve">4.2 O canal que o Stepless tem e o Hivemapper não: propósito</w:t>
      </w:r>
    </w:p>
    <w:p>
      <w:pPr>
        <w:spacing w:after="140" w:line="276"/>
      </w:pPr>
      <w:r>
        <w:t xml:space="preserve">Diferente de um app de dashcam, o Stepless tem uma </w:t>
      </w:r>
      <w:r>
        <w:rPr>
          <w:b/>
          <w:bCs/>
        </w:rPr>
        <w:t xml:space="preserve">comunidade organizada e motivada por causa</w:t>
      </w:r>
      <w:r>
        <w:t xml:space="preserve"> — pessoas com deficiência, cuidadores, ONGs, coletivos de mobilidade. Wheelmap e AccessNow provam que essa comunidade contribui até sem pagamento. Canais concretos:</w:t>
      </w:r>
    </w:p>
    <w:p>
      <w:pPr>
        <w:pStyle w:val="ListParagraph"/>
        <w:numPr>
          <w:ilvl w:val="0"/>
          <w:numId w:val="2"/>
        </w:numPr>
        <w:spacing w:after="80" w:line="270"/>
      </w:pPr>
      <w:r>
        <w:t xml:space="preserve">Parcerias com </w:t>
      </w:r>
      <w:r>
        <w:rPr>
          <w:b/>
          <w:bCs/>
        </w:rPr>
        <w:t xml:space="preserve">ONGs e associações de pessoas com deficiência</w:t>
      </w:r>
      <w:r>
        <w:t xml:space="preserve"> (distribuição direta a quem já quer mapear).</w:t>
      </w:r>
    </w:p>
    <w:p>
      <w:pPr>
        <w:pStyle w:val="ListParagraph"/>
        <w:numPr>
          <w:ilvl w:val="0"/>
          <w:numId w:val="2"/>
        </w:numPr>
        <w:spacing w:after="80" w:line="270"/>
      </w:pPr>
      <w:r>
        <w:t xml:space="preserve">Prefeituras e programas de </w:t>
      </w:r>
      <w:r>
        <w:rPr>
          <w:b/>
          <w:bCs/>
        </w:rPr>
        <w:t xml:space="preserve">cidade acessível / smart city</w:t>
      </w:r>
      <w:r>
        <w:t xml:space="preserve"> — potenciais consumidores dos dados e financiadores.</w:t>
      </w:r>
    </w:p>
    <w:p>
      <w:pPr>
        <w:pStyle w:val="ListParagraph"/>
        <w:numPr>
          <w:ilvl w:val="0"/>
          <w:numId w:val="2"/>
        </w:numPr>
        <w:spacing w:after="80" w:line="270"/>
      </w:pPr>
      <w:r>
        <w:t xml:space="preserve">Universidades (arquitetura, urbanismo, terapia ocupacional) para campanhas de mapeamento.</w:t>
      </w:r>
    </w:p>
    <w:p>
      <w:pPr>
        <w:pStyle w:val="ListParagraph"/>
        <w:numPr>
          <w:ilvl w:val="0"/>
          <w:numId w:val="2"/>
        </w:numPr>
        <w:spacing w:after="80" w:line="270"/>
      </w:pPr>
      <w:r>
        <w:t xml:space="preserve">O próprio fundador como prova viva: o Stepless é um projeto pessoal de um cadeirante — narrativa autêntica que ressoa em imprensa e comunidade, algo que apps genéricos não têm.</w:t>
      </w:r>
    </w:p>
    <w:p>
      <w:pPr>
        <w:pStyle w:val="Heading2"/>
      </w:pPr>
      <w:r>
        <w:t xml:space="preserve">4.3 Financiamento: o elo que fecha tudo</w:t>
      </w:r>
    </w:p>
    <w:p>
      <w:pPr>
        <w:spacing w:after="140" w:line="276"/>
      </w:pPr>
      <w:r>
        <w:t xml:space="preserve">Como a sustentabilidade depende de recarregar a tesouraria, aquisição de usuários e financiamento são o mesmo problema. A alavanca mais alinhada hoje:</w:t>
      </w:r>
    </w:p>
    <w:p>
      <w:pPr>
        <w:pStyle w:val="ListParagraph"/>
        <w:numPr>
          <w:ilvl w:val="0"/>
          <w:numId w:val="2"/>
        </w:numPr>
        <w:spacing w:after="80" w:line="270"/>
      </w:pPr>
      <w:r>
        <w:rPr>
          <w:b/>
          <w:bCs/>
        </w:rPr>
        <w:t xml:space="preserve">Circle Developer Grants — trilha Arc. </w:t>
      </w:r>
      <w:r>
        <w:t xml:space="preserve">A Circle opera um programa de grants em USDC (tipicamente US$5 mil–US$100 mil) e </w:t>
      </w:r>
      <w:r>
        <w:rPr>
          <w:b/>
          <w:bCs/>
        </w:rPr>
        <w:t xml:space="preserve">abriu uma trilha específica para o ecossistema Arc</w:t>
      </w:r>
      <w:r>
        <w:t xml:space="preserve"> em 2026, com 60% do supply inicial de ARC destinado ao ecossistema. O Stepless roda exatamente na Arc Testnet e paga em USDC — encaixe quase perfeito com a tese "casos de uso reais de stablecoin".</w:t>
      </w:r>
    </w:p>
    <w:p>
      <w:pPr>
        <w:pStyle w:val="ListParagraph"/>
        <w:numPr>
          <w:ilvl w:val="0"/>
          <w:numId w:val="2"/>
        </w:numPr>
        <w:spacing w:after="80" w:line="270"/>
      </w:pPr>
      <w:r>
        <w:t xml:space="preserve">Programas de </w:t>
      </w:r>
      <w:r>
        <w:rPr>
          <w:b/>
          <w:bCs/>
        </w:rPr>
        <w:t xml:space="preserve">impacto social / tecnologia assistiva</w:t>
      </w:r>
      <w:r>
        <w:t xml:space="preserve"> (fundações, editais de acessibilidade) — a narrativa de inclusão abre portas fora do circuito cripto.</w:t>
      </w:r>
    </w:p>
    <w:p>
      <w:pPr>
        <w:pStyle w:val="ListParagraph"/>
        <w:numPr>
          <w:ilvl w:val="0"/>
          <w:numId w:val="2"/>
        </w:numPr>
        <w:spacing w:after="80" w:line="270"/>
      </w:pPr>
      <w:r>
        <w:t xml:space="preserve">Longo prazo: </w:t>
      </w:r>
      <w:r>
        <w:rPr>
          <w:b/>
          <w:bCs/>
        </w:rPr>
        <w:t xml:space="preserve">clientes dos dados</w:t>
      </w:r>
      <w:r>
        <w:t xml:space="preserve"> (municípios, apps de rota acessível, varejo) transformam o grant em receita recorrente — o passo "subsídio → receita real" que o DePIN maduro persegue.</w:t>
      </w:r>
    </w:p>
    <w:p>
      <w:pPr>
        <w:spacing w:after="140" w:line="276"/>
      </w:pPr>
      <w:r>
        <w:rPr>
          <w:b/>
          <w:bCs/>
        </w:rPr>
        <w:t xml:space="preserve">Sequência recomendada: </w:t>
      </w:r>
      <w:r>
        <w:t xml:space="preserve">(1) reforçar defesa anti-sybil antes de escalar recompensa; (2) candidatar-se ao grant Circle/Arc com o motor funcionando como prova; (3) recrutar 3–5 campeões comunitários via ONGs para provar tração; (4) só então investir em referral e temporadas.</w:t>
      </w:r>
    </w:p>
    <w:p>
      <w:r>
        <w:br w:type="page"/>
      </w:r>
    </w:p>
    <w:p>
      <w:pPr>
        <w:pStyle w:val="Heading1"/>
      </w:pPr>
      <w:r>
        <w:t xml:space="preserve">5. Síntese e próximos passos</w:t>
      </w:r>
    </w:p>
    <w:p>
      <w:pPr>
        <w:spacing w:after="140" w:line="276"/>
      </w:pPr>
      <w:r>
        <w:t xml:space="preserve">Ordenados por impacto sobre a viabilidade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3460"/>
      </w:tblGrid>
      <w:tr>
        <w:trPr>
          <w:tblHeader/>
        </w:trPr>
        <w:tc>
          <w:tcPr>
            <w:tcW w:type="dxa" w:w="7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jc w:val="left"/>
            </w:pPr>
            <w:r>
              <w:rPr>
                <w:b/>
                <w:bCs/>
                <w:color w:val="FFFFFF"/>
                <w:sz w:val="20"/>
                <w:szCs w:val="20"/>
              </w:rPr>
              <w:t xml:space="preserve">#</w:t>
            </w:r>
          </w:p>
        </w:tc>
        <w:tc>
          <w:tcPr>
            <w:tcW w:type="dxa" w:w="520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jc w:val="left"/>
            </w:pPr>
            <w:r>
              <w:rPr>
                <w:b/>
                <w:bCs/>
                <w:color w:val="FFFFFF"/>
                <w:sz w:val="20"/>
                <w:szCs w:val="20"/>
              </w:rPr>
              <w:t xml:space="preserve">Ação</w:t>
            </w:r>
          </w:p>
        </w:tc>
        <w:tc>
          <w:tcPr>
            <w:tcW w:type="dxa" w:w="3460"/>
            <w:tcBorders>
              <w:top w:val="single" w:color="BBBBBB" w:sz="1"/>
              <w:left w:val="single" w:color="BBBBBB" w:sz="1"/>
              <w:bottom w:val="single" w:color="BBBBBB" w:sz="1"/>
              <w:right w:val="single" w:color="BBBBBB" w:sz="1"/>
            </w:tcBorders>
            <w:shd w:fill="1F4E79" w:val="clear"/>
            <w:tcMar>
              <w:top w:type="dxa" w:w="70"/>
              <w:left w:type="dxa" w:w="110"/>
              <w:bottom w:type="dxa" w:w="70"/>
              <w:right w:type="dxa" w:w="110"/>
            </w:tcMar>
            <w:vAlign w:val="center"/>
          </w:tcPr>
          <w:p>
            <w:pPr>
              <w:jc w:val="left"/>
            </w:pPr>
            <w:r>
              <w:rPr>
                <w:b/>
                <w:bCs/>
                <w:color w:val="FFFFFF"/>
                <w:sz w:val="20"/>
                <w:szCs w:val="20"/>
              </w:rPr>
              <w:t xml:space="preserve">Por quê</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000000"/>
                <w:sz w:val="20"/>
                <w:szCs w:val="20"/>
              </w:rPr>
              <w:t xml:space="preserve">1</w:t>
            </w:r>
          </w:p>
        </w:tc>
        <w:tc>
          <w:tcPr>
            <w:tcW w:type="dxa" w:w="5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Endurecer verificação anti-sybil (2 etapas + dedupe + reputação) antes de qualquer campanha paga</w:t>
            </w:r>
          </w:p>
        </w:tc>
        <w:tc>
          <w:tcPr>
            <w:tcW w:type="dxa" w:w="3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Recompensa em USDC sem defesa = tesouraria drenada por fraude</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000000"/>
                <w:sz w:val="20"/>
                <w:szCs w:val="20"/>
              </w:rPr>
              <w:t xml:space="preserve">2</w:t>
            </w:r>
          </w:p>
        </w:tc>
        <w:tc>
          <w:tcPr>
            <w:tcW w:type="dxa" w:w="5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Migrar admin para multisig + timelock; higienizar a chave do relayer</w:t>
            </w:r>
          </w:p>
        </w:tc>
        <w:tc>
          <w:tcPr>
            <w:tcW w:type="dxa" w:w="3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Ponto único de falha já falhou uma vez (vazamento → migração v3)</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000000"/>
                <w:sz w:val="20"/>
                <w:szCs w:val="20"/>
              </w:rPr>
              <w:t xml:space="preserve">3</w:t>
            </w:r>
          </w:p>
        </w:tc>
        <w:tc>
          <w:tcPr>
            <w:tcW w:type="dxa" w:w="5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Candidatar-se ao grant Circle/Arc (USDC) com o motor funcional como prova</w:t>
            </w:r>
          </w:p>
        </w:tc>
        <w:tc>
          <w:tcPr>
            <w:tcW w:type="dxa" w:w="3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Resolve o runway; encaixe direto com Arc + USDC</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000000"/>
                <w:sz w:val="20"/>
                <w:szCs w:val="20"/>
              </w:rPr>
              <w:t xml:space="preserve">4</w:t>
            </w:r>
          </w:p>
        </w:tc>
        <w:tc>
          <w:tcPr>
            <w:tcW w:type="dxa" w:w="5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Recrutar campeões comunitários via ONGs de acessibilidade</w:t>
            </w:r>
          </w:p>
        </w:tc>
        <w:tc>
          <w:tcPr>
            <w:tcW w:type="dxa" w:w="3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Aquisição de baixo custo e alta autenticidade (modelo Hivemapper)</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000000"/>
                <w:sz w:val="20"/>
                <w:szCs w:val="20"/>
              </w:rPr>
              <w:t xml:space="preserve">5</w:t>
            </w:r>
          </w:p>
        </w:tc>
        <w:tc>
          <w:tcPr>
            <w:tcW w:type="dxa" w:w="5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Reposicionar narrativa: infraestrutura de dados de acessibilidade, não "earn"</w:t>
            </w:r>
          </w:p>
        </w:tc>
        <w:tc>
          <w:tcPr>
            <w:tcW w:type="dxa" w:w="3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Atrai financiadores e consumidores de dados; evita rótulo de ponzi</w:t>
            </w:r>
          </w:p>
        </w:tc>
      </w:tr>
      <w:tr>
        <w:trPr>
          <w:tblHeader w:val="false"/>
        </w:trPr>
        <w:tc>
          <w:tcPr>
            <w:tcW w:type="dxa" w:w="7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center"/>
            </w:pPr>
            <w:r>
              <w:rPr>
                <w:b w:val="false"/>
                <w:bCs w:val="false"/>
                <w:color w:val="000000"/>
                <w:sz w:val="20"/>
                <w:szCs w:val="20"/>
              </w:rPr>
              <w:t xml:space="preserve">6</w:t>
            </w:r>
          </w:p>
        </w:tc>
        <w:tc>
          <w:tcPr>
            <w:tcW w:type="dxa" w:w="520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Buscar primeiro consumidor de dados (prefeitura/ONG/app de rotas)</w:t>
            </w:r>
          </w:p>
        </w:tc>
        <w:tc>
          <w:tcPr>
            <w:tcW w:type="dxa" w:w="3460"/>
            <w:tcBorders>
              <w:top w:val="single" w:color="BBBBBB" w:sz="1"/>
              <w:left w:val="single" w:color="BBBBBB" w:sz="1"/>
              <w:bottom w:val="single" w:color="BBBBBB" w:sz="1"/>
              <w:right w:val="single" w:color="BBBBBB" w:sz="1"/>
            </w:tcBorders>
            <w:shd w:fill="FFFFFF" w:val="clear"/>
            <w:tcMar>
              <w:top w:type="dxa" w:w="70"/>
              <w:left w:type="dxa" w:w="110"/>
              <w:bottom w:type="dxa" w:w="70"/>
              <w:right w:type="dxa" w:w="110"/>
            </w:tcMar>
            <w:vAlign w:val="center"/>
          </w:tcPr>
          <w:p>
            <w:pPr>
              <w:jc w:val="left"/>
            </w:pPr>
            <w:r>
              <w:rPr>
                <w:b w:val="false"/>
                <w:bCs w:val="false"/>
                <w:color w:val="000000"/>
                <w:sz w:val="20"/>
                <w:szCs w:val="20"/>
              </w:rPr>
              <w:t xml:space="preserve">Converte subsídio em receita real — sustentabilidade de verdade</w:t>
            </w:r>
          </w:p>
        </w:tc>
      </w:tr>
    </w:tbl>
    <w:p>
      <w:pPr>
        <w:spacing w:after="140" w:line="276"/>
      </w:pPr>
      <w:r>
        <w:rPr>
          <w:b/>
          <w:bCs/>
        </w:rPr>
        <w:t xml:space="preserve">Conclusão: </w:t>
      </w:r>
      <w:r>
        <w:t xml:space="preserve">o Stepless já venceu a parte difícil de engenharia e, por pagar em USDC, evitou o erro fatal de tokenomics que derrubou o STEPN. O que separa o protótipo funcional de um projeto durável não é mais código de contrato — é </w:t>
      </w:r>
      <w:r>
        <w:rPr>
          <w:b/>
          <w:bCs/>
        </w:rPr>
        <w:t xml:space="preserve">defesa contra fraude, uma fonte de caixa (grant Circle/Arc) e uma comunidade real</w:t>
      </w:r>
      <w:r>
        <w:t xml:space="preserve"> que já existe e só espera ser convidada.</w:t>
      </w:r>
    </w:p>
    <w:p>
      <w:r>
        <w:br w:type="page"/>
      </w:r>
    </w:p>
    <w:p>
      <w:pPr>
        <w:pStyle w:val="Heading1"/>
      </w:pPr>
      <w:r>
        <w:t xml:space="preserve">Fontes</w:t>
      </w:r>
    </w:p>
    <w:p>
      <w:pPr>
        <w:spacing w:after="80"/>
      </w:pPr>
      <w:hyperlink w:history="1" r:id="rIdhwn26ttpgtlazfyphdokc">
        <w:r>
          <w:rPr>
            <w:rStyle w:val="Hyperlink"/>
          </w:rPr>
          <w:t xml:space="preserve">Hivemapper — tokenomics e sustentabilidade (Messari)</w:t>
        </w:r>
      </w:hyperlink>
    </w:p>
    <w:p>
      <w:pPr>
        <w:spacing w:after="80"/>
      </w:pPr>
      <w:hyperlink w:history="1" r:id="rIdlsay1vfbe7e5ibb_waoe1">
        <w:r>
          <w:rPr>
            <w:rStyle w:val="Hyperlink"/>
          </w:rPr>
          <w:t xml:space="preserve">Hivemapper — case study de incentivos blockchain (GridEcon)</w:t>
        </w:r>
      </w:hyperlink>
    </w:p>
    <w:p>
      <w:pPr>
        <w:spacing w:after="80"/>
      </w:pPr>
      <w:hyperlink w:history="1" r:id="rIdposs5n6plb800ydvecqnk">
        <w:r>
          <w:rPr>
            <w:rStyle w:val="Hyperlink"/>
          </w:rPr>
          <w:t xml:space="preserve">Hivemapper — estratégia de crescimento e referral</w:t>
        </w:r>
      </w:hyperlink>
    </w:p>
    <w:p>
      <w:pPr>
        <w:spacing w:after="80"/>
      </w:pPr>
      <w:hyperlink w:history="1" r:id="rIdv9bp3dm0jckheo6kgnoyp">
        <w:r>
          <w:rPr>
            <w:rStyle w:val="Hyperlink"/>
          </w:rPr>
          <w:t xml:space="preserve">Wheelmap — plataforma de crowdsourcing de acessibilidade (Springer)</w:t>
        </w:r>
      </w:hyperlink>
    </w:p>
    <w:p>
      <w:pPr>
        <w:spacing w:after="80"/>
      </w:pPr>
      <w:hyperlink w:history="1" r:id="rIdw8mbi_jfgxuuj0vfujrho">
        <w:r>
          <w:rPr>
            <w:rStyle w:val="Hyperlink"/>
          </w:rPr>
          <w:t xml:space="preserve">AccessNow — mapeamento colaborativo global</w:t>
        </w:r>
      </w:hyperlink>
    </w:p>
    <w:p>
      <w:pPr>
        <w:spacing w:after="80"/>
      </w:pPr>
      <w:hyperlink w:history="1" r:id="rIdtsg2zk4gposbi140ogb1e">
        <w:r>
          <w:rPr>
            <w:rStyle w:val="Hyperlink"/>
          </w:rPr>
          <w:t xml:space="preserve">STEPN — por que o colapso era inevitável (Vader Research)</w:t>
        </w:r>
      </w:hyperlink>
    </w:p>
    <w:p>
      <w:pPr>
        <w:spacing w:after="80"/>
      </w:pPr>
      <w:hyperlink w:history="1" r:id="rIdozb2tosa6b7jl6thqd2up">
        <w:r>
          <w:rPr>
            <w:rStyle w:val="Hyperlink"/>
          </w:rPr>
          <w:t xml:space="preserve">STEPN — ascensão, queda e futuro (Naavik)</w:t>
        </w:r>
      </w:hyperlink>
    </w:p>
    <w:p>
      <w:pPr>
        <w:spacing w:after="80"/>
      </w:pPr>
      <w:hyperlink w:history="1" r:id="rIdycfnn8lzlaqmyubniji3e">
        <w:r>
          <w:rPr>
            <w:rStyle w:val="Hyperlink"/>
          </w:rPr>
          <w:t xml:space="preserve">DePIN tokenomics — subsídio vs. receita real (Frontiers in Blockchain)</w:t>
        </w:r>
      </w:hyperlink>
    </w:p>
    <w:p>
      <w:pPr>
        <w:spacing w:after="80"/>
      </w:pPr>
      <w:hyperlink w:history="1" r:id="rIdq2ks45nzavwq6jwdi7tgq">
        <w:r>
          <w:rPr>
            <w:rStyle w:val="Hyperlink"/>
          </w:rPr>
          <w:t xml:space="preserve">DePIN — pivô para receita real (BlockEden)</w:t>
        </w:r>
      </w:hyperlink>
    </w:p>
    <w:p>
      <w:pPr>
        <w:spacing w:after="80"/>
      </w:pPr>
      <w:hyperlink w:history="1" r:id="rIdmsphpbfpwlcklksubhfq9">
        <w:r>
          <w:rPr>
            <w:rStyle w:val="Hyperlink"/>
          </w:rPr>
          <w:t xml:space="preserve">Segurança de smart contracts — boas práticas (Alchemy)</w:t>
        </w:r>
      </w:hyperlink>
    </w:p>
    <w:p>
      <w:pPr>
        <w:spacing w:after="80"/>
      </w:pPr>
      <w:hyperlink w:history="1" r:id="rId4azwl5iha6hwd-bdeeaxg">
        <w:r>
          <w:rPr>
            <w:rStyle w:val="Hyperlink"/>
          </w:rPr>
          <w:t xml:space="preserve">Manipulação de oráculo (Smart Contract Security Field Guide)</w:t>
        </w:r>
      </w:hyperlink>
    </w:p>
    <w:p>
      <w:pPr>
        <w:spacing w:after="80"/>
      </w:pPr>
      <w:hyperlink w:history="1" r:id="rIdriqmm9ufolueqi3pargpf">
        <w:r>
          <w:rPr>
            <w:rStyle w:val="Hyperlink"/>
          </w:rPr>
          <w:t xml:space="preserve">Proof-of-Location resistente a sybil (MDPI Sensors)</w:t>
        </w:r>
      </w:hyperlink>
    </w:p>
    <w:p>
      <w:pPr>
        <w:spacing w:after="80"/>
      </w:pPr>
      <w:hyperlink w:history="1" r:id="rIdkbs5a7g5w_rlzkq8s4csr">
        <w:r>
          <w:rPr>
            <w:rStyle w:val="Hyperlink"/>
          </w:rPr>
          <w:t xml:space="preserve">Circle Developer Grants</w:t>
        </w:r>
      </w:hyperlink>
    </w:p>
    <w:p>
      <w:pPr>
        <w:spacing w:after="80"/>
      </w:pPr>
      <w:hyperlink w:history="1" r:id="rId7rsnbfvglplofcblbxp7w">
        <w:r>
          <w:rPr>
            <w:rStyle w:val="Hyperlink"/>
          </w:rPr>
          <w:t xml:space="preserve">Circle — US$222M para a rede Arc</w:t>
        </w:r>
      </w:hyperlink>
    </w:p>
    <w:p>
      <w:pPr>
        <w:spacing w:after="80"/>
      </w:pPr>
      <w:hyperlink w:history="1" r:id="rIdvvrddzrrmcr69mzwae7ve">
        <w:r>
          <w:rPr>
            <w:rStyle w:val="Hyperlink"/>
          </w:rPr>
          <w:t xml:space="preserve">Circle — cohort 2026 do programa de grants para desenvolvedores</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Stepless — Pesquisa de Produto  ·  Página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4" w:space="4"/>
      </w:pBdr>
      <w:spacing w:after="16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wn26ttpgtlazfyphdokc" Type="http://schemas.openxmlformats.org/officeDocument/2006/relationships/hyperlink" Target="https://messari.io/project/hivemapper" TargetMode="External"/><Relationship Id="rIdlsay1vfbe7e5ibb_waoe1" Type="http://schemas.openxmlformats.org/officeDocument/2006/relationships/hyperlink" Target="https://www.gridecon.com/insights/reimagining-maps-through-blockchain-incentives-the-hivemapper-story" TargetMode="External"/><Relationship Id="rIdposs5n6plb800ydvecqnk" Type="http://schemas.openxmlformats.org/officeDocument/2006/relationships/hyperlink" Target="https://businessmodelcanvastemplate.com/blogs/growth-strategy/hivemapper-growth-strategy" TargetMode="External"/><Relationship Id="rIdv9bp3dm0jckheo6kgnoyp" Type="http://schemas.openxmlformats.org/officeDocument/2006/relationships/hyperlink" Target="https://link.springer.com/article/10.1186/s40965-017-0040-5" TargetMode="External"/><Relationship Id="rIdw8mbi_jfgxuuj0vfujrho" Type="http://schemas.openxmlformats.org/officeDocument/2006/relationships/hyperlink" Target="https://www.thealinker.com/blogs/all/maayan-ziv-accessibility-for-all" TargetMode="External"/><Relationship Id="rIdtsg2zk4gposbi140ogb1e" Type="http://schemas.openxmlformats.org/officeDocument/2006/relationships/hyperlink" Target="https://defivader.medium.com/why-stepns-collapse-is-inevitable-5259a6584a98" TargetMode="External"/><Relationship Id="rIdozb2tosa6b7jl6thqd2up" Type="http://schemas.openxmlformats.org/officeDocument/2006/relationships/hyperlink" Target="https://naavik.co/digest/stepn-rise-fall-future/" TargetMode="External"/><Relationship Id="rIdycfnn8lzlaqmyubniji3e" Type="http://schemas.openxmlformats.org/officeDocument/2006/relationships/hyperlink" Target="https://www.frontiersin.org/journals/blockchain/articles/10.3389/fbloc.2025.1644115/full" TargetMode="External"/><Relationship Id="rIdq2ks45nzavwq6jwdi7tgq" Type="http://schemas.openxmlformats.org/officeDocument/2006/relationships/hyperlink" Target="https://blockeden.xyz/blog/2026/04/12/depin-revenue-pivot-token-subsidies-ai-compute-akash-render-ionet/" TargetMode="External"/><Relationship Id="rIdmsphpbfpwlcklksubhfq9" Type="http://schemas.openxmlformats.org/officeDocument/2006/relationships/hyperlink" Target="https://www.alchemy.com/overviews/smart-contract-security-best-practices" TargetMode="External"/><Relationship Id="rId4azwl5iha6hwd-bdeeaxg" Type="http://schemas.openxmlformats.org/officeDocument/2006/relationships/hyperlink" Target="https://scsfg.io/hackers/oracle-manipulation/" TargetMode="External"/><Relationship Id="rIdriqmm9ufolueqi3pargpf" Type="http://schemas.openxmlformats.org/officeDocument/2006/relationships/hyperlink" Target="https://www.mdpi.com/1424-8220/24/24/8140" TargetMode="External"/><Relationship Id="rIdkbs5a7g5w_rlzkq8s4csr" Type="http://schemas.openxmlformats.org/officeDocument/2006/relationships/hyperlink" Target="https://www.circle.com/grant" TargetMode="External"/><Relationship Id="rId7rsnbfvglplofcblbxp7w" Type="http://schemas.openxmlformats.org/officeDocument/2006/relationships/hyperlink" Target="https://coinmarketcap.com/academy/article/%20circle-raises-222m-arc-blockchain-valuation" TargetMode="External"/><Relationship Id="rIdvvrddzrrmcr69mzwae7ve" Type="http://schemas.openxmlformats.org/officeDocument/2006/relationships/hyperlink" Target="https://bitcoinke.io/2026/03/circle-unveils-cohort-1-2026-developer-grants/"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2026-07-06T22:36:48.045Z</dcterms:created>
  <dcterms:modified xsi:type="dcterms:W3CDTF">2026-07-06T22:36:48.046Z</dcterms:modified>
</cp:coreProperties>
</file>

<file path=docProps/custom.xml><?xml version="1.0" encoding="utf-8"?>
<Properties xmlns="http://schemas.openxmlformats.org/officeDocument/2006/custom-properties" xmlns:vt="http://schemas.openxmlformats.org/officeDocument/2006/docPropsVTypes"/>
</file>