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 w:eastAsia="Microsoft YaHei"/>
          <w:b/>
          <w:color w:val="17365D"/>
          <w:sz w:val="56"/>
        </w:rPr>
        <w:t>AI SSH Desktop</w:t>
      </w:r>
    </w:p>
    <w:p>
      <w:pPr>
        <w:jc w:val="center"/>
      </w:pPr>
      <w:r>
        <w:rPr>
          <w:rFonts w:ascii="Aptos" w:hAnsi="Aptos" w:eastAsia="Microsoft YaHei"/>
          <w:b w:val="0"/>
          <w:color w:val="2F75B5"/>
          <w:sz w:val="28"/>
        </w:rPr>
        <w:t>AI Tool Protocol &amp; Policy Engine 设计</w:t>
      </w:r>
    </w:p>
    <w:p>
      <w:pPr>
        <w:jc w:val="center"/>
      </w:pPr>
      <w:r>
        <w:rPr>
          <w:rFonts w:ascii="Aptos" w:hAnsi="Aptos" w:eastAsia="Microsoft YaHei"/>
          <w:b w:val="0"/>
          <w:color w:val="666666"/>
          <w:sz w:val="20"/>
        </w:rPr>
        <w:t>版本 v0.1  |  早期产品与工程基线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t>产品形态</w:t>
            </w:r>
          </w:p>
        </w:tc>
        <w:tc>
          <w:tcPr>
            <w:tcW w:type="dxa" w:w="4968"/>
            <w:vAlign w:val="center"/>
          </w:tcPr>
          <w:p>
            <w:r>
              <w:t>Windows / macOS / Linux 桌面应用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r>
              <w:t>核心技术</w:t>
            </w:r>
          </w:p>
        </w:tc>
        <w:tc>
          <w:tcPr>
            <w:tcW w:type="dxa" w:w="4968"/>
            <w:vAlign w:val="center"/>
          </w:tcPr>
          <w:p>
            <w:r>
              <w:t>Tauri 2 + React + TypeScript + Rust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r>
              <w:t>核心领域</w:t>
            </w:r>
          </w:p>
        </w:tc>
        <w:tc>
          <w:tcPr>
            <w:tcW w:type="dxa" w:w="4968"/>
            <w:vAlign w:val="center"/>
          </w:tcPr>
          <w:p>
            <w:r>
              <w:t>SSH / Linux / AI Agent / SFTP / Docker / Kubernetes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r>
              <w:t>文档用途</w:t>
            </w:r>
          </w:p>
        </w:tc>
        <w:tc>
          <w:tcPr>
            <w:tcW w:type="dxa" w:w="4968"/>
            <w:vAlign w:val="center"/>
          </w:tcPr>
          <w:p>
            <w:r>
              <w:t>产品决策、架构设计、研发拆解与后续迭代基线</w:t>
            </w:r>
          </w:p>
        </w:tc>
      </w:tr>
    </w:tbl>
    <w:p/>
    <w:p>
      <w:pPr>
        <w:jc w:val="center"/>
      </w:pPr>
      <w:r>
        <w:rPr>
          <w:rFonts w:ascii="Aptos" w:hAnsi="Aptos" w:eastAsia="Microsoft YaHei"/>
          <w:b/>
          <w:color w:val="17365D"/>
          <w:sz w:val="22"/>
        </w:rPr>
        <w:t>核心原则：AI 能力必须建立在可理解的上下文、结构化工具、安全策略和可审计执行之上。</w:t>
      </w:r>
    </w:p>
    <w:p>
      <w:r>
        <w:br w:type="page"/>
      </w:r>
    </w:p>
    <w:p>
      <w:pPr>
        <w:pStyle w:val="Heading1"/>
      </w:pPr>
      <w:r>
        <w:t>文档说明</w:t>
      </w:r>
    </w:p>
    <w:p>
      <w:r>
        <w:t>定义 AI 与基础设施之间的能力协议、Tool 生命周期、风险模型、审批机制、Shell fallback、安全边界、结果约束和审计模型。本文件是项目最核心的安全与 Agent 执行协议。</w:t>
      </w:r>
    </w:p>
    <w:p>
      <w:pPr>
        <w:pStyle w:val="Heading2"/>
      </w:pPr>
      <w:r>
        <w:t>适用范围</w:t>
      </w:r>
    </w:p>
    <w:p>
      <w:pPr>
        <w:pStyle w:val="ListBullet"/>
      </w:pPr>
      <w:r>
        <w:t>适用于 AI Agent、Quick Actions、Command Palette 与自动化诊断。</w:t>
      </w:r>
    </w:p>
    <w:p>
      <w:pPr>
        <w:pStyle w:val="ListBullet"/>
      </w:pPr>
      <w:r>
        <w:t>适用于 SSH、Files、Docker、Kubernetes 等所有 Provider。</w:t>
      </w:r>
    </w:p>
    <w:p>
      <w:pPr>
        <w:pStyle w:val="ListBullet"/>
      </w:pPr>
      <w:r>
        <w:t>目标是让 AI 能执行真实工作，同时保持可预测、可确认、可阻断和可审计。</w:t>
      </w:r>
    </w:p>
    <w:p>
      <w:pPr>
        <w:pStyle w:val="Heading2"/>
      </w:pPr>
      <w:r>
        <w:t>关键结论</w:t>
      </w:r>
    </w:p>
    <w:p>
      <w:r>
        <w:rPr>
          <w:rFonts w:ascii="Aptos" w:hAnsi="Aptos" w:eastAsia="Microsoft YaHei"/>
          <w:b/>
          <w:color w:val="17365D"/>
        </w:rPr>
        <w:t>本项目的长期竞争力不来自“能连 SSH”，而来自统一的 Context Engine、Tool System、Policy Engine 与 Infrastructure Resource Model。</w:t>
      </w:r>
    </w:p>
    <w:p>
      <w:pPr>
        <w:pStyle w:val="Heading1"/>
      </w:pPr>
      <w:r>
        <w:t>1. 设计目标</w:t>
      </w:r>
    </w:p>
    <w:p>
      <w:pPr>
        <w:pStyle w:val="ListBullet"/>
      </w:pPr>
      <w:r>
        <w:t>结构化：优先业务 Tool，而非自由 Shell。</w:t>
      </w:r>
    </w:p>
    <w:p>
      <w:pPr>
        <w:pStyle w:val="ListBullet"/>
      </w:pPr>
      <w:r>
        <w:t>可组合：多个低风险 Tool 可形成诊断链。</w:t>
      </w:r>
    </w:p>
    <w:p>
      <w:pPr>
        <w:pStyle w:val="ListBullet"/>
      </w:pPr>
      <w:r>
        <w:t>可控：任何副作用动作进入统一 Policy。</w:t>
      </w:r>
    </w:p>
    <w:p>
      <w:pPr>
        <w:pStyle w:val="ListBullet"/>
      </w:pPr>
      <w:r>
        <w:t>可解释：批准前展示目标、理由、影响与预计变更。</w:t>
      </w:r>
    </w:p>
    <w:p>
      <w:pPr>
        <w:pStyle w:val="ListBullet"/>
      </w:pPr>
      <w:r>
        <w:t>可审计：从 AI 请求到执行结果形成完整记录。</w:t>
      </w:r>
    </w:p>
    <w:p>
      <w:pPr>
        <w:pStyle w:val="ListBullet"/>
      </w:pPr>
      <w:r>
        <w:t>可演进：Tool schema 稳定，底层可从 CLI 换成原生 API。</w:t>
      </w:r>
    </w:p>
    <w:p>
      <w:pPr>
        <w:pStyle w:val="Heading1"/>
      </w:pPr>
      <w:r>
        <w:t>2. Tool Protocol 概念模型</w:t>
      </w:r>
    </w:p>
    <w:p>
      <w:pPr>
        <w:pStyle w:val="CodeBlock"/>
        <w:keepLines/>
      </w:pPr>
      <w:r>
        <w:rPr>
          <w:rFonts w:ascii="Consolas" w:hAnsi="Consolas" w:eastAsia="Microsoft YaHei"/>
          <w:b w:val="0"/>
          <w:color w:val="333333"/>
          <w:sz w:val="17"/>
        </w:rPr>
        <w:t>ToolDefinition</w:t>
        <w:br/>
        <w:t>├─ name / version</w:t>
        <w:br/>
        <w:t>├─ description</w:t>
        <w:br/>
        <w:t>├─ input_schema</w:t>
        <w:br/>
        <w:t>├─ output_schema</w:t>
        <w:br/>
        <w:t>├─ capabilities</w:t>
        <w:br/>
        <w:t>├─ risk_profile</w:t>
        <w:br/>
        <w:t>├─ side_effects</w:t>
        <w:br/>
        <w:t>├─ timeout_policy</w:t>
        <w:br/>
        <w:t>└─ audit_policy</w:t>
        <w:br/>
        <w:br/>
        <w:t>ToolInvocation</w:t>
        <w:br/>
        <w:t>├─ invocation_id</w:t>
        <w:br/>
        <w:t>├─ tool_name</w:t>
        <w:br/>
        <w:t>├─ actor</w:t>
        <w:br/>
        <w:t>├─ target</w:t>
        <w:br/>
        <w:t>├─ arguments</w:t>
        <w:br/>
        <w:t>├─ context_ref</w:t>
        <w:br/>
        <w:t>└─ requested_at</w:t>
      </w:r>
    </w:p>
    <w:p>
      <w:pPr>
        <w:pStyle w:val="Heading1"/>
      </w:pPr>
      <w:r>
        <w:t>3. Tool 命名规范</w:t>
      </w:r>
    </w:p>
    <w:p>
      <w:r>
        <w:t>采用 domain.resource.action 或 domain.action 的稳定命名，避免把具体命令写入 Tool 名称。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</w:tcPr>
          <w:p>
            <w:r>
              <w:rPr>
                <w:rFonts w:ascii="Aptos" w:hAnsi="Aptos" w:eastAsia="Microsoft YaHei"/>
                <w:b/>
                <w:color w:val="17365D"/>
              </w:rPr>
              <w:t>Domain</w:t>
            </w:r>
          </w:p>
        </w:tc>
        <w:tc>
          <w:tcPr>
            <w:tcW w:type="dxa" w:w="4968"/>
            <w:shd w:fill="D9EAF7"/>
          </w:tcPr>
          <w:p>
            <w:r>
              <w:rPr>
                <w:rFonts w:ascii="Aptos" w:hAnsi="Aptos" w:eastAsia="Microsoft YaHei"/>
                <w:b/>
                <w:color w:val="17365D"/>
              </w:rPr>
              <w:t>示例</w:t>
            </w:r>
          </w:p>
        </w:tc>
      </w:tr>
      <w:tr>
        <w:tc>
          <w:tcPr>
            <w:tcW w:type="dxa" w:w="4968"/>
            <w:vAlign w:val="center"/>
          </w:tcPr>
          <w:p>
            <w:r>
              <w:t>system</w:t>
            </w:r>
          </w:p>
        </w:tc>
        <w:tc>
          <w:tcPr>
            <w:tcW w:type="dxa" w:w="4968"/>
            <w:vAlign w:val="center"/>
          </w:tcPr>
          <w:p>
            <w:r>
              <w:t>system.info / system.memory / system.disk</w:t>
            </w:r>
          </w:p>
        </w:tc>
      </w:tr>
      <w:tr>
        <w:tc>
          <w:tcPr>
            <w:tcW w:type="dxa" w:w="4968"/>
            <w:vAlign w:val="center"/>
          </w:tcPr>
          <w:p>
            <w:r>
              <w:t>process</w:t>
            </w:r>
          </w:p>
        </w:tc>
        <w:tc>
          <w:tcPr>
            <w:tcW w:type="dxa" w:w="4968"/>
            <w:vAlign w:val="center"/>
          </w:tcPr>
          <w:p>
            <w:r>
              <w:t>process.list / process.inspect / process.kill</w:t>
            </w:r>
          </w:p>
        </w:tc>
      </w:tr>
      <w:tr>
        <w:tc>
          <w:tcPr>
            <w:tcW w:type="dxa" w:w="4968"/>
            <w:vAlign w:val="center"/>
          </w:tcPr>
          <w:p>
            <w:r>
              <w:t>network</w:t>
            </w:r>
          </w:p>
        </w:tc>
        <w:tc>
          <w:tcPr>
            <w:tcW w:type="dxa" w:w="4968"/>
            <w:vAlign w:val="center"/>
          </w:tcPr>
          <w:p>
            <w:r>
              <w:t>network.interfaces / network.ports</w:t>
            </w:r>
          </w:p>
        </w:tc>
      </w:tr>
      <w:tr>
        <w:tc>
          <w:tcPr>
            <w:tcW w:type="dxa" w:w="4968"/>
            <w:vAlign w:val="center"/>
          </w:tcPr>
          <w:p>
            <w:r>
              <w:t>service</w:t>
            </w:r>
          </w:p>
        </w:tc>
        <w:tc>
          <w:tcPr>
            <w:tcW w:type="dxa" w:w="4968"/>
            <w:vAlign w:val="center"/>
          </w:tcPr>
          <w:p>
            <w:r>
              <w:t>service.list / service.status / service.restart</w:t>
            </w:r>
          </w:p>
        </w:tc>
      </w:tr>
      <w:tr>
        <w:tc>
          <w:tcPr>
            <w:tcW w:type="dxa" w:w="4968"/>
            <w:vAlign w:val="center"/>
          </w:tcPr>
          <w:p>
            <w:r>
              <w:t>file</w:t>
            </w:r>
          </w:p>
        </w:tc>
        <w:tc>
          <w:tcPr>
            <w:tcW w:type="dxa" w:w="4968"/>
            <w:vAlign w:val="center"/>
          </w:tcPr>
          <w:p>
            <w:r>
              <w:t>file.list / file.read / file.write / file.transfer</w:t>
            </w:r>
          </w:p>
        </w:tc>
      </w:tr>
      <w:tr>
        <w:tc>
          <w:tcPr>
            <w:tcW w:type="dxa" w:w="4968"/>
            <w:vAlign w:val="center"/>
          </w:tcPr>
          <w:p>
            <w:r>
              <w:t>docker</w:t>
            </w:r>
          </w:p>
        </w:tc>
        <w:tc>
          <w:tcPr>
            <w:tcW w:type="dxa" w:w="4968"/>
            <w:vAlign w:val="center"/>
          </w:tcPr>
          <w:p>
            <w:r>
              <w:t>docker.container.list / logs / stats / exec</w:t>
            </w:r>
          </w:p>
        </w:tc>
      </w:tr>
      <w:tr>
        <w:tc>
          <w:tcPr>
            <w:tcW w:type="dxa" w:w="4968"/>
            <w:vAlign w:val="center"/>
          </w:tcPr>
          <w:p>
            <w:r>
              <w:t>k8s</w:t>
            </w:r>
          </w:p>
        </w:tc>
        <w:tc>
          <w:tcPr>
            <w:tcW w:type="dxa" w:w="4968"/>
            <w:vAlign w:val="center"/>
          </w:tcPr>
          <w:p>
            <w:r>
              <w:t>k8s.pod.list / logs / exec / deployment.apply</w:t>
            </w:r>
          </w:p>
        </w:tc>
      </w:tr>
      <w:tr>
        <w:tc>
          <w:tcPr>
            <w:tcW w:type="dxa" w:w="4968"/>
            <w:vAlign w:val="center"/>
          </w:tcPr>
          <w:p>
            <w:r>
              <w:t>shell</w:t>
            </w:r>
          </w:p>
        </w:tc>
        <w:tc>
          <w:tcPr>
            <w:tcW w:type="dxa" w:w="4968"/>
            <w:vAlign w:val="center"/>
          </w:tcPr>
          <w:p>
            <w:r>
              <w:t>shell.execute</w:t>
            </w:r>
          </w:p>
        </w:tc>
      </w:tr>
    </w:tbl>
    <w:p>
      <w:pPr>
        <w:pStyle w:val="Heading1"/>
      </w:pPr>
      <w:r>
        <w:t>4. Tool Definition 示例</w:t>
      </w:r>
    </w:p>
    <w:p>
      <w:pPr>
        <w:pStyle w:val="CodeBlock"/>
        <w:keepLines/>
      </w:pPr>
      <w:r>
        <w:rPr>
          <w:rFonts w:ascii="Consolas" w:hAnsi="Consolas" w:eastAsia="Microsoft YaHei"/>
          <w:b w:val="0"/>
          <w:color w:val="333333"/>
          <w:sz w:val="17"/>
        </w:rPr>
        <w:t>{</w:t>
        <w:br/>
        <w:t xml:space="preserve">  "name": "service.restart",</w:t>
        <w:br/>
        <w:t xml:space="preserve">  "version": "1.0",</w:t>
        <w:br/>
        <w:t xml:space="preserve">  "description": "Restart a service on a target server",</w:t>
        <w:br/>
        <w:t xml:space="preserve">  "risk_profile": {"base": "CAUTION", "side_effect": true},</w:t>
        <w:br/>
        <w:t xml:space="preserve">  "requires_target": true,</w:t>
        <w:br/>
        <w:t xml:space="preserve">  "supports_ai": true,</w:t>
        <w:br/>
        <w:t xml:space="preserve">  "supports_batch": false,</w:t>
        <w:br/>
        <w:t xml:space="preserve">  "timeout_ms": 30000</w:t>
        <w:br/>
        <w:t>}</w:t>
      </w:r>
    </w:p>
    <w:p>
      <w:pPr>
        <w:pStyle w:val="Heading1"/>
      </w:pPr>
      <w:r>
        <w:t>5. Tool Result 规范</w:t>
      </w:r>
    </w:p>
    <w:p>
      <w:pPr>
        <w:pStyle w:val="CodeBlock"/>
        <w:keepLines/>
      </w:pPr>
      <w:r>
        <w:rPr>
          <w:rFonts w:ascii="Consolas" w:hAnsi="Consolas" w:eastAsia="Microsoft YaHei"/>
          <w:b w:val="0"/>
          <w:color w:val="333333"/>
          <w:sz w:val="17"/>
        </w:rPr>
        <w:t>ToolResult</w:t>
        <w:br/>
        <w:t>├─ invocation_id</w:t>
        <w:br/>
        <w:t>├─ status: success | failed | denied | cancelled | partial</w:t>
        <w:br/>
        <w:t>├─ data: structured payload</w:t>
        <w:br/>
        <w:t>├─ human_summary</w:t>
        <w:br/>
        <w:t>├─ stdout_excerpt?</w:t>
        <w:br/>
        <w:t>├─ stderr_excerpt?</w:t>
        <w:br/>
        <w:t>├─ changed_resources[]</w:t>
        <w:br/>
        <w:t>├─ warnings[]</w:t>
        <w:br/>
        <w:t>├─ started_at / finished_at</w:t>
        <w:br/>
        <w:t>└─ audit_id</w:t>
      </w:r>
    </w:p>
    <w:p>
      <w:r>
        <w:t>给模型的结果应优先结构化，原始 stdout/stderr 作为受限补充。对超长输出做截断、分页或二次读取 Tool，避免一次性灌入模型。</w:t>
      </w:r>
    </w:p>
    <w:p>
      <w:pPr>
        <w:pStyle w:val="Heading1"/>
      </w:pPr>
      <w:r>
        <w:t>6. Tool Registry</w:t>
      </w:r>
    </w:p>
    <w:p>
      <w:r>
        <w:t>Registry 是能力真源，负责注册、版本、schema、风险 metadata 与 runtime handler。UI、AI、Command Palette 都从 Registry/Capabilities 派生，不各自维护命令表。</w:t>
      </w:r>
    </w:p>
    <w:p>
      <w:pPr>
        <w:pStyle w:val="CodeBlock"/>
        <w:keepLines/>
      </w:pPr>
      <w:r>
        <w:rPr>
          <w:rFonts w:ascii="Consolas" w:hAnsi="Consolas" w:eastAsia="Microsoft YaHei"/>
          <w:b w:val="0"/>
          <w:color w:val="333333"/>
          <w:sz w:val="17"/>
        </w:rPr>
        <w:t>register(tool_definition, handler)</w:t>
        <w:br/>
        <w:t>resolve(name, version?)</w:t>
        <w:br/>
        <w:t>validate_args(schema, args)</w:t>
        <w:br/>
        <w:t>invoke(invocation) → policy → execution → result</w:t>
      </w:r>
    </w:p>
    <w:p>
      <w:pPr>
        <w:pStyle w:val="Heading1"/>
      </w:pPr>
      <w:r>
        <w:t>7. shell.execute 的定位</w:t>
      </w:r>
    </w:p>
    <w:p>
      <w:r>
        <w:t>shell.execute 只作为 fallback，不作为默认 Agent 能力。它必须有独立、更严格的解析和风险评估，不能因为“只是一个 Tool”就被视为安全。</w:t>
      </w:r>
    </w:p>
    <w:p>
      <w:pPr>
        <w:pStyle w:val="ListBullet"/>
      </w:pPr>
      <w:r>
        <w:t>优先使用已注册业务 Tool。</w:t>
      </w:r>
    </w:p>
    <w:p>
      <w:pPr>
        <w:pStyle w:val="ListBullet"/>
      </w:pPr>
      <w:r>
        <w:t>Shell 命令必须有明确 target、working_directory、timeout。</w:t>
      </w:r>
    </w:p>
    <w:p>
      <w:pPr>
        <w:pStyle w:val="ListBullet"/>
      </w:pPr>
      <w:r>
        <w:t>禁止默认继承交互 Terminal 当前 stdin 状态。</w:t>
      </w:r>
    </w:p>
    <w:p>
      <w:pPr>
        <w:pStyle w:val="ListBullet"/>
      </w:pPr>
      <w:r>
        <w:t>默认不开启 shell interpolation 之外的额外隐式能力。</w:t>
      </w:r>
    </w:p>
    <w:p>
      <w:pPr>
        <w:pStyle w:val="ListBullet"/>
      </w:pPr>
      <w:r>
        <w:t>输出有上限，支持后续 read_more。</w:t>
      </w:r>
    </w:p>
    <w:p>
      <w:pPr>
        <w:pStyle w:val="Heading1"/>
      </w:pPr>
      <w:r>
        <w:t>8. Policy Engine 输入</w:t>
      </w:r>
    </w:p>
    <w:p>
      <w:pPr>
        <w:pStyle w:val="CodeBlock"/>
        <w:keepLines/>
      </w:pPr>
      <w:r>
        <w:rPr>
          <w:rFonts w:ascii="Consolas" w:hAnsi="Consolas" w:eastAsia="Microsoft YaHei"/>
          <w:b w:val="0"/>
          <w:color w:val="333333"/>
          <w:sz w:val="17"/>
        </w:rPr>
        <w:t>PolicyInput</w:t>
        <w:br/>
        <w:t>├─ actor (user | ai | system)</w:t>
        <w:br/>
        <w:t>├─ tool definition</w:t>
        <w:br/>
        <w:t>├─ arguments</w:t>
        <w:br/>
        <w:t>├─ target resource</w:t>
        <w:br/>
        <w:t>├─ environment tags</w:t>
        <w:br/>
        <w:t>├─ privilege</w:t>
        <w:br/>
        <w:t>├─ workspace policy</w:t>
        <w:br/>
        <w:t>├─ user policy</w:t>
        <w:br/>
        <w:t>└─ recent operation context</w:t>
      </w:r>
    </w:p>
    <w:p>
      <w:pPr>
        <w:pStyle w:val="Heading1"/>
      </w:pPr>
      <w:r>
        <w:t>9. 风险模型</w:t>
      </w:r>
    </w:p>
    <w:p>
      <w:r>
        <w:t>风险不能仅根据命令名称。建议采用维度评分 + 硬规则覆盖。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9EAF7"/>
          </w:tcPr>
          <w:p>
            <w:r>
              <w:rPr>
                <w:rFonts w:ascii="Aptos" w:hAnsi="Aptos" w:eastAsia="Microsoft YaHei"/>
                <w:b/>
                <w:color w:val="17365D"/>
              </w:rPr>
              <w:t>维度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Aptos" w:hAnsi="Aptos" w:eastAsia="Microsoft YaHei"/>
                <w:b/>
                <w:color w:val="17365D"/>
              </w:rPr>
              <w:t>关注点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Aptos" w:hAnsi="Aptos" w:eastAsia="Microsoft YaHei"/>
                <w:b/>
                <w:color w:val="17365D"/>
              </w:rPr>
              <w:t>示例</w:t>
            </w:r>
          </w:p>
        </w:tc>
      </w:tr>
      <w:tr>
        <w:tc>
          <w:tcPr>
            <w:tcW w:type="dxa" w:w="3312"/>
            <w:vAlign w:val="center"/>
          </w:tcPr>
          <w:p>
            <w:r>
              <w:t>Base Tool Risk</w:t>
            </w:r>
          </w:p>
        </w:tc>
        <w:tc>
          <w:tcPr>
            <w:tcW w:type="dxa" w:w="3312"/>
            <w:vAlign w:val="center"/>
          </w:tcPr>
          <w:p>
            <w:r>
              <w:t>Tool 本身副作用</w:t>
            </w:r>
          </w:p>
        </w:tc>
        <w:tc>
          <w:tcPr>
            <w:tcW w:type="dxa" w:w="3312"/>
            <w:vAlign w:val="center"/>
          </w:tcPr>
          <w:p>
            <w:r>
              <w:t>read=低，restart=中，delete=高</w:t>
            </w:r>
          </w:p>
        </w:tc>
      </w:tr>
      <w:tr>
        <w:tc>
          <w:tcPr>
            <w:tcW w:type="dxa" w:w="3312"/>
            <w:vAlign w:val="center"/>
          </w:tcPr>
          <w:p>
            <w:r>
              <w:t>Argument Risk</w:t>
            </w:r>
          </w:p>
        </w:tc>
        <w:tc>
          <w:tcPr>
            <w:tcW w:type="dxa" w:w="3312"/>
            <w:vAlign w:val="center"/>
          </w:tcPr>
          <w:p>
            <w:r>
              <w:t>参数扩大影响</w:t>
            </w:r>
          </w:p>
        </w:tc>
        <w:tc>
          <w:tcPr>
            <w:tcW w:type="dxa" w:w="3312"/>
            <w:vAlign w:val="center"/>
          </w:tcPr>
          <w:p>
            <w:r>
              <w:t>recursive、force、wildcard、root path</w:t>
            </w:r>
          </w:p>
        </w:tc>
      </w:tr>
      <w:tr>
        <w:tc>
          <w:tcPr>
            <w:tcW w:type="dxa" w:w="3312"/>
            <w:vAlign w:val="center"/>
          </w:tcPr>
          <w:p>
            <w:r>
              <w:t>Target Risk</w:t>
            </w:r>
          </w:p>
        </w:tc>
        <w:tc>
          <w:tcPr>
            <w:tcW w:type="dxa" w:w="3312"/>
            <w:vAlign w:val="center"/>
          </w:tcPr>
          <w:p>
            <w:r>
              <w:t>目标资源重要性</w:t>
            </w:r>
          </w:p>
        </w:tc>
        <w:tc>
          <w:tcPr>
            <w:tcW w:type="dxa" w:w="3312"/>
            <w:vAlign w:val="center"/>
          </w:tcPr>
          <w:p>
            <w:r>
              <w:t>生产主机、系统目录、关键 service</w:t>
            </w:r>
          </w:p>
        </w:tc>
      </w:tr>
      <w:tr>
        <w:tc>
          <w:tcPr>
            <w:tcW w:type="dxa" w:w="3312"/>
            <w:vAlign w:val="center"/>
          </w:tcPr>
          <w:p>
            <w:r>
              <w:t>Environment Risk</w:t>
            </w:r>
          </w:p>
        </w:tc>
        <w:tc>
          <w:tcPr>
            <w:tcW w:type="dxa" w:w="3312"/>
            <w:vAlign w:val="center"/>
          </w:tcPr>
          <w:p>
            <w:r>
              <w:t>环境标签</w:t>
            </w:r>
          </w:p>
        </w:tc>
        <w:tc>
          <w:tcPr>
            <w:tcW w:type="dxa" w:w="3312"/>
            <w:vAlign w:val="center"/>
          </w:tcPr>
          <w:p>
            <w:r>
              <w:t>prod 高于 dev/test</w:t>
            </w:r>
          </w:p>
        </w:tc>
      </w:tr>
      <w:tr>
        <w:tc>
          <w:tcPr>
            <w:tcW w:type="dxa" w:w="3312"/>
            <w:vAlign w:val="center"/>
          </w:tcPr>
          <w:p>
            <w:r>
              <w:t>Privilege Risk</w:t>
            </w:r>
          </w:p>
        </w:tc>
        <w:tc>
          <w:tcPr>
            <w:tcW w:type="dxa" w:w="3312"/>
            <w:vAlign w:val="center"/>
          </w:tcPr>
          <w:p>
            <w:r>
              <w:t>执行权限</w:t>
            </w:r>
          </w:p>
        </w:tc>
        <w:tc>
          <w:tcPr>
            <w:tcW w:type="dxa" w:w="3312"/>
            <w:vAlign w:val="center"/>
          </w:tcPr>
          <w:p>
            <w:r>
              <w:t>root / sudo 提升风险</w:t>
            </w:r>
          </w:p>
        </w:tc>
      </w:tr>
      <w:tr>
        <w:tc>
          <w:tcPr>
            <w:tcW w:type="dxa" w:w="3312"/>
            <w:vAlign w:val="center"/>
          </w:tcPr>
          <w:p>
            <w:r>
              <w:t>Blast Radius</w:t>
            </w:r>
          </w:p>
        </w:tc>
        <w:tc>
          <w:tcPr>
            <w:tcW w:type="dxa" w:w="3312"/>
            <w:vAlign w:val="center"/>
          </w:tcPr>
          <w:p>
            <w:r>
              <w:t>影响范围</w:t>
            </w:r>
          </w:p>
        </w:tc>
        <w:tc>
          <w:tcPr>
            <w:tcW w:type="dxa" w:w="3312"/>
            <w:vAlign w:val="center"/>
          </w:tcPr>
          <w:p>
            <w:r>
              <w:t>单进程、单机、批量服务器、集群</w:t>
            </w:r>
          </w:p>
        </w:tc>
      </w:tr>
      <w:tr>
        <w:tc>
          <w:tcPr>
            <w:tcW w:type="dxa" w:w="3312"/>
            <w:vAlign w:val="center"/>
          </w:tcPr>
          <w:p>
            <w:r>
              <w:t>Reversibility</w:t>
            </w:r>
          </w:p>
        </w:tc>
        <w:tc>
          <w:tcPr>
            <w:tcW w:type="dxa" w:w="3312"/>
            <w:vAlign w:val="center"/>
          </w:tcPr>
          <w:p>
            <w:r>
              <w:t>是否容易恢复</w:t>
            </w:r>
          </w:p>
        </w:tc>
        <w:tc>
          <w:tcPr>
            <w:tcW w:type="dxa" w:w="3312"/>
            <w:vAlign w:val="center"/>
          </w:tcPr>
          <w:p>
            <w:r>
              <w:t>读取可恢复；删除/覆盖难恢复</w:t>
            </w:r>
          </w:p>
        </w:tc>
      </w:tr>
    </w:tbl>
    <w:p>
      <w:pPr>
        <w:pStyle w:val="Heading1"/>
      </w:pPr>
      <w:r>
        <w:t>10. 风险等级与决策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9EAF7"/>
          </w:tcPr>
          <w:p>
            <w:r>
              <w:rPr>
                <w:rFonts w:ascii="Aptos" w:hAnsi="Aptos" w:eastAsia="Microsoft YaHei"/>
                <w:b/>
                <w:color w:val="17365D"/>
              </w:rPr>
              <w:t>Level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Aptos" w:hAnsi="Aptos" w:eastAsia="Microsoft YaHei"/>
                <w:b/>
                <w:color w:val="17365D"/>
              </w:rPr>
              <w:t>默认动作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Aptos" w:hAnsi="Aptos" w:eastAsia="Microsoft YaHei"/>
                <w:b/>
                <w:color w:val="17365D"/>
              </w:rPr>
              <w:t>UI</w:t>
            </w:r>
          </w:p>
        </w:tc>
      </w:tr>
      <w:tr>
        <w:tc>
          <w:tcPr>
            <w:tcW w:type="dxa" w:w="3312"/>
            <w:vAlign w:val="center"/>
          </w:tcPr>
          <w:p>
            <w:r>
              <w:t>SAFE</w:t>
            </w:r>
          </w:p>
        </w:tc>
        <w:tc>
          <w:tcPr>
            <w:tcW w:type="dxa" w:w="3312"/>
            <w:vAlign w:val="center"/>
          </w:tcPr>
          <w:p>
            <w:r>
              <w:t>ALLOW</w:t>
            </w:r>
          </w:p>
        </w:tc>
        <w:tc>
          <w:tcPr>
            <w:tcW w:type="dxa" w:w="3312"/>
            <w:vAlign w:val="center"/>
          </w:tcPr>
          <w:p>
            <w:r>
              <w:t>静默或轻量状态提示</w:t>
            </w:r>
          </w:p>
        </w:tc>
      </w:tr>
      <w:tr>
        <w:tc>
          <w:tcPr>
            <w:tcW w:type="dxa" w:w="3312"/>
            <w:vAlign w:val="center"/>
          </w:tcPr>
          <w:p>
            <w:r>
              <w:t>CAUTION</w:t>
            </w:r>
          </w:p>
        </w:tc>
        <w:tc>
          <w:tcPr>
            <w:tcW w:type="dxa" w:w="3312"/>
            <w:vAlign w:val="center"/>
          </w:tcPr>
          <w:p>
            <w:r>
              <w:t>CONFIRM</w:t>
            </w:r>
          </w:p>
        </w:tc>
        <w:tc>
          <w:tcPr>
            <w:tcW w:type="dxa" w:w="3312"/>
            <w:vAlign w:val="center"/>
          </w:tcPr>
          <w:p>
            <w:r>
              <w:t>显示原因、目标和动作，一次确认</w:t>
            </w:r>
          </w:p>
        </w:tc>
      </w:tr>
      <w:tr>
        <w:tc>
          <w:tcPr>
            <w:tcW w:type="dxa" w:w="3312"/>
            <w:vAlign w:val="center"/>
          </w:tcPr>
          <w:p>
            <w:r>
              <w:t>HIGH</w:t>
            </w:r>
          </w:p>
        </w:tc>
        <w:tc>
          <w:tcPr>
            <w:tcW w:type="dxa" w:w="3312"/>
            <w:vAlign w:val="center"/>
          </w:tcPr>
          <w:p>
            <w:r>
              <w:t>STRONG_CONFIRM</w:t>
            </w:r>
          </w:p>
        </w:tc>
        <w:tc>
          <w:tcPr>
            <w:tcW w:type="dxa" w:w="3312"/>
            <w:vAlign w:val="center"/>
          </w:tcPr>
          <w:p>
            <w:r>
              <w:t>突出风险、Diff/影响，强确认；可要求输入确认文本</w:t>
            </w:r>
          </w:p>
        </w:tc>
      </w:tr>
      <w:tr>
        <w:tc>
          <w:tcPr>
            <w:tcW w:type="dxa" w:w="3312"/>
            <w:vAlign w:val="center"/>
          </w:tcPr>
          <w:p>
            <w:r>
              <w:t>BLOCKED</w:t>
            </w:r>
          </w:p>
        </w:tc>
        <w:tc>
          <w:tcPr>
            <w:tcW w:type="dxa" w:w="3312"/>
            <w:vAlign w:val="center"/>
          </w:tcPr>
          <w:p>
            <w:r>
              <w:t>DENY</w:t>
            </w:r>
          </w:p>
        </w:tc>
        <w:tc>
          <w:tcPr>
            <w:tcW w:type="dxa" w:w="3312"/>
            <w:vAlign w:val="center"/>
          </w:tcPr>
          <w:p>
            <w:r>
              <w:t>解释策略阻断，不执行</w:t>
            </w:r>
          </w:p>
        </w:tc>
      </w:tr>
    </w:tbl>
    <w:p>
      <w:pPr>
        <w:pStyle w:val="Heading1"/>
      </w:pPr>
      <w:r>
        <w:t>11. Policy Rule 优先级</w:t>
      </w:r>
    </w:p>
    <w:p>
      <w:pPr>
        <w:pStyle w:val="CodeBlock"/>
        <w:keepLines/>
      </w:pPr>
      <w:r>
        <w:rPr>
          <w:rFonts w:ascii="Consolas" w:hAnsi="Consolas" w:eastAsia="Microsoft YaHei"/>
          <w:b w:val="0"/>
          <w:color w:val="333333"/>
          <w:sz w:val="17"/>
        </w:rPr>
        <w:t>1. Hard Block Rules</w:t>
        <w:br/>
        <w:t>2. Organization / Workspace Policy</w:t>
        <w:br/>
        <w:t>3. Environment / Target Rules</w:t>
        <w:br/>
        <w:t>4. Tool Base Risk</w:t>
        <w:br/>
        <w:t>5. Argument &amp; Blast Radius Adjustment</w:t>
        <w:br/>
        <w:t>6. User Permission Mode</w:t>
        <w:br/>
        <w:t>7. Final Decision</w:t>
      </w:r>
    </w:p>
    <w:p>
      <w:r>
        <w:t>DENY 优先于所有 allow；HIGH 不能被普通“自动允许读操作”设置降级。后期企业策略应允许管理员强制覆盖个人设置。</w:t>
      </w:r>
    </w:p>
    <w:p>
      <w:pPr>
        <w:pStyle w:val="Heading1"/>
      </w:pPr>
      <w:r>
        <w:t>12. 用户权限模式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</w:tcPr>
          <w:p>
            <w:r>
              <w:rPr>
                <w:rFonts w:ascii="Aptos" w:hAnsi="Aptos" w:eastAsia="Microsoft YaHei"/>
                <w:b/>
                <w:color w:val="17365D"/>
              </w:rPr>
              <w:t>模式</w:t>
            </w:r>
          </w:p>
        </w:tc>
        <w:tc>
          <w:tcPr>
            <w:tcW w:type="dxa" w:w="4968"/>
            <w:shd w:fill="D9EAF7"/>
          </w:tcPr>
          <w:p>
            <w:r>
              <w:rPr>
                <w:rFonts w:ascii="Aptos" w:hAnsi="Aptos" w:eastAsia="Microsoft YaHei"/>
                <w:b/>
                <w:color w:val="17365D"/>
              </w:rPr>
              <w:t>行为</w:t>
            </w:r>
          </w:p>
        </w:tc>
      </w:tr>
      <w:tr>
        <w:tc>
          <w:tcPr>
            <w:tcW w:type="dxa" w:w="4968"/>
            <w:vAlign w:val="center"/>
          </w:tcPr>
          <w:p>
            <w:r>
              <w:t>Ask Only</w:t>
            </w:r>
          </w:p>
        </w:tc>
        <w:tc>
          <w:tcPr>
            <w:tcW w:type="dxa" w:w="4968"/>
            <w:vAlign w:val="center"/>
          </w:tcPr>
          <w:p>
            <w:r>
              <w:t>AI 只能分析，不执行 Tool（可允许纯本地推理）</w:t>
            </w:r>
          </w:p>
        </w:tc>
      </w:tr>
      <w:tr>
        <w:tc>
          <w:tcPr>
            <w:tcW w:type="dxa" w:w="4968"/>
            <w:vAlign w:val="center"/>
          </w:tcPr>
          <w:p>
            <w:r>
              <w:t>Read Only</w:t>
            </w:r>
          </w:p>
        </w:tc>
        <w:tc>
          <w:tcPr>
            <w:tcW w:type="dxa" w:w="4968"/>
            <w:vAlign w:val="center"/>
          </w:tcPr>
          <w:p>
            <w:r>
              <w:t>仅 SAFE 且只读 Tool 可执行</w:t>
            </w:r>
          </w:p>
        </w:tc>
      </w:tr>
      <w:tr>
        <w:tc>
          <w:tcPr>
            <w:tcW w:type="dxa" w:w="4968"/>
            <w:vAlign w:val="center"/>
          </w:tcPr>
          <w:p>
            <w:r>
              <w:t>Confirm Changes</w:t>
            </w:r>
          </w:p>
        </w:tc>
        <w:tc>
          <w:tcPr>
            <w:tcW w:type="dxa" w:w="4968"/>
            <w:vAlign w:val="center"/>
          </w:tcPr>
          <w:p>
            <w:r>
              <w:t>只读自动；所有有副作用 Tool 需要确认</w:t>
            </w:r>
          </w:p>
        </w:tc>
      </w:tr>
      <w:tr>
        <w:tc>
          <w:tcPr>
            <w:tcW w:type="dxa" w:w="4968"/>
            <w:vAlign w:val="center"/>
          </w:tcPr>
          <w:p>
            <w:r>
              <w:t>Advanced</w:t>
            </w:r>
          </w:p>
        </w:tc>
        <w:tc>
          <w:tcPr>
            <w:tcW w:type="dxa" w:w="4968"/>
            <w:vAlign w:val="center"/>
          </w:tcPr>
          <w:p>
            <w:r>
              <w:t>根据 Policy 自动处理 SAFE/CAUTION；HIGH 仍需强确认</w:t>
            </w:r>
          </w:p>
        </w:tc>
      </w:tr>
      <w:tr>
        <w:tc>
          <w:tcPr>
            <w:tcW w:type="dxa" w:w="4968"/>
            <w:vAlign w:val="center"/>
          </w:tcPr>
          <w:p>
            <w:r>
              <w:t>Restricted/Enterprise</w:t>
            </w:r>
          </w:p>
        </w:tc>
        <w:tc>
          <w:tcPr>
            <w:tcW w:type="dxa" w:w="4968"/>
            <w:vAlign w:val="center"/>
          </w:tcPr>
          <w:p>
            <w:r>
              <w:t>由组织策略锁定能力与环境</w:t>
            </w:r>
          </w:p>
        </w:tc>
      </w:tr>
    </w:tbl>
    <w:p>
      <w:pPr>
        <w:pStyle w:val="Heading1"/>
      </w:pPr>
      <w:r>
        <w:t>13. Approval Token</w:t>
      </w:r>
    </w:p>
    <w:p>
      <w:r>
        <w:t>确认不能只是 UI 按钮回调。应创建短生命周期 Approval Token，与 invocation hash、target、arguments、risk level 绑定，防止确认后参数被替换。</w:t>
      </w:r>
    </w:p>
    <w:p>
      <w:pPr>
        <w:pStyle w:val="CodeBlock"/>
        <w:keepLines/>
      </w:pPr>
      <w:r>
        <w:rPr>
          <w:rFonts w:ascii="Consolas" w:hAnsi="Consolas" w:eastAsia="Microsoft YaHei"/>
          <w:b w:val="0"/>
          <w:color w:val="333333"/>
          <w:sz w:val="17"/>
        </w:rPr>
        <w:t>ApprovalToken</w:t>
        <w:br/>
        <w:t>├─ approval_id</w:t>
        <w:br/>
        <w:t>├─ invocation_hash</w:t>
        <w:br/>
        <w:t>├─ approved_by</w:t>
        <w:br/>
        <w:t>├─ approved_at</w:t>
        <w:br/>
        <w:t>├─ expires_at</w:t>
        <w:br/>
        <w:t>├─ risk_level</w:t>
        <w:br/>
        <w:t>└─ optional_scope</w:t>
      </w:r>
    </w:p>
    <w:p>
      <w:pPr>
        <w:pStyle w:val="Heading1"/>
      </w:pPr>
      <w:r>
        <w:t>14. Proposal / Diff</w:t>
      </w:r>
    </w:p>
    <w:p>
      <w:r>
        <w:t>对文件写入、K8s apply、配置修改等，AI 应先生成 Proposed Change。Approval UI 尽可能展示 Diff，而不是仅展示一条 shell 命令。</w:t>
      </w:r>
    </w:p>
    <w:p>
      <w:pPr>
        <w:pStyle w:val="CodeBlock"/>
        <w:keepLines/>
      </w:pPr>
      <w:r>
        <w:rPr>
          <w:rFonts w:ascii="Consolas" w:hAnsi="Consolas" w:eastAsia="Microsoft YaHei"/>
          <w:b w:val="0"/>
          <w:color w:val="333333"/>
          <w:sz w:val="17"/>
        </w:rPr>
        <w:t>Target: /etc/nginx/conf.d/api.conf</w:t>
        <w:br/>
        <w:br/>
        <w:t>- proxy_pass http://127.0.0.1:8081;</w:t>
        <w:br/>
        <w:t>+ proxy_pass http://127.0.0.1:8080;</w:t>
        <w:br/>
        <w:br/>
        <w:t>Follow-up:</w:t>
        <w:br/>
        <w:t xml:space="preserve">  nginx -t</w:t>
        <w:br/>
        <w:t xml:space="preserve">  systemctl reload nginx</w:t>
      </w:r>
    </w:p>
    <w:p>
      <w:pPr>
        <w:pStyle w:val="Heading1"/>
      </w:pPr>
      <w:r>
        <w:t>15. Diagnose → Fix → Verify 协议</w:t>
      </w:r>
    </w:p>
    <w:p>
      <w:pPr>
        <w:pStyle w:val="CodeBlock"/>
        <w:keepLines/>
      </w:pPr>
      <w:r>
        <w:rPr>
          <w:rFonts w:ascii="Consolas" w:hAnsi="Consolas" w:eastAsia="Microsoft YaHei"/>
          <w:b w:val="0"/>
          <w:color w:val="333333"/>
          <w:sz w:val="17"/>
        </w:rPr>
        <w:t>Observe (SAFE tools)</w:t>
        <w:br/>
        <w:t xml:space="preserve">  ↓</w:t>
        <w:br/>
        <w:t>Diagnose</w:t>
        <w:br/>
        <w:t xml:space="preserve">  ↓</w:t>
        <w:br/>
        <w:t>Propose Change</w:t>
        <w:br/>
        <w:t xml:space="preserve">  ↓</w:t>
        <w:br/>
        <w:t>Policy + Approval</w:t>
        <w:br/>
        <w:t xml:space="preserve">  ↓</w:t>
        <w:br/>
        <w:t>Execute</w:t>
        <w:br/>
        <w:t xml:space="preserve">  ↓</w:t>
        <w:br/>
        <w:t>Verification Tools</w:t>
        <w:br/>
        <w:t xml:space="preserve">  ↓</w:t>
        <w:br/>
        <w:t>Final Result</w:t>
      </w:r>
    </w:p>
    <w:p>
      <w:r>
        <w:t>变更成功不等于任务成功。Tool/Agent 应尽量定义 verification step，例如重启 service 后再次 status、改 Nginx 后 nginx -t + HTTP 检查、K8s apply 后 rollout/status。</w:t>
      </w:r>
    </w:p>
    <w:p>
      <w:pPr>
        <w:pStyle w:val="Heading1"/>
      </w:pPr>
      <w:r>
        <w:t>16. Batch / Multi-server 安全</w:t>
      </w:r>
    </w:p>
    <w:p>
      <w:r>
        <w:t>批量操作必须把 Blast Radius 作为独立风险因素。一个 CAUTION 操作作用于 30 台主机时可能升级为 HIGH。默认展示目标数量与清单；生产批量变更应支持分批、dry-run/preview 和 stop-on-failure。</w:t>
      </w:r>
    </w:p>
    <w:p>
      <w:pPr>
        <w:pStyle w:val="Heading1"/>
      </w:pPr>
      <w:r>
        <w:t>17. 文件 Tool 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</w:tcPr>
          <w:p>
            <w:r>
              <w:rPr>
                <w:rFonts w:ascii="Aptos" w:hAnsi="Aptos" w:eastAsia="Microsoft YaHei"/>
                <w:b/>
                <w:color w:val="17365D"/>
              </w:rPr>
              <w:t>Tool</w:t>
            </w:r>
          </w:p>
        </w:tc>
        <w:tc>
          <w:tcPr>
            <w:tcW w:type="dxa" w:w="4968"/>
            <w:shd w:fill="D9EAF7"/>
          </w:tcPr>
          <w:p>
            <w:r>
              <w:rPr>
                <w:rFonts w:ascii="Aptos" w:hAnsi="Aptos" w:eastAsia="Microsoft YaHei"/>
                <w:b/>
                <w:color w:val="17365D"/>
              </w:rPr>
              <w:t>风险考虑</w:t>
            </w:r>
          </w:p>
        </w:tc>
      </w:tr>
      <w:tr>
        <w:tc>
          <w:tcPr>
            <w:tcW w:type="dxa" w:w="4968"/>
            <w:vAlign w:val="center"/>
          </w:tcPr>
          <w:p>
            <w:r>
              <w:t>file.read</w:t>
            </w:r>
          </w:p>
        </w:tc>
        <w:tc>
          <w:tcPr>
            <w:tcW w:type="dxa" w:w="4968"/>
            <w:vAlign w:val="center"/>
          </w:tcPr>
          <w:p>
            <w:r>
              <w:t>敏感路径、密钥、token；可被数据外泄策略限制</w:t>
            </w:r>
          </w:p>
        </w:tc>
      </w:tr>
      <w:tr>
        <w:tc>
          <w:tcPr>
            <w:tcW w:type="dxa" w:w="4968"/>
            <w:vAlign w:val="center"/>
          </w:tcPr>
          <w:p>
            <w:r>
              <w:t>file.write</w:t>
            </w:r>
          </w:p>
        </w:tc>
        <w:tc>
          <w:tcPr>
            <w:tcW w:type="dxa" w:w="4968"/>
            <w:vAlign w:val="center"/>
          </w:tcPr>
          <w:p>
            <w:r>
              <w:t>覆盖文件、配置目录、权限；优先 preview/diff</w:t>
            </w:r>
          </w:p>
        </w:tc>
      </w:tr>
      <w:tr>
        <w:tc>
          <w:tcPr>
            <w:tcW w:type="dxa" w:w="4968"/>
            <w:vAlign w:val="center"/>
          </w:tcPr>
          <w:p>
            <w:r>
              <w:t>file.delete</w:t>
            </w:r>
          </w:p>
        </w:tc>
        <w:tc>
          <w:tcPr>
            <w:tcW w:type="dxa" w:w="4968"/>
            <w:vAlign w:val="center"/>
          </w:tcPr>
          <w:p>
            <w:r>
              <w:t>路径、递归、恢复能力；通常 HIGH</w:t>
            </w:r>
          </w:p>
        </w:tc>
      </w:tr>
      <w:tr>
        <w:tc>
          <w:tcPr>
            <w:tcW w:type="dxa" w:w="4968"/>
            <w:vAlign w:val="center"/>
          </w:tcPr>
          <w:p>
            <w:r>
              <w:t>file.transfer</w:t>
            </w:r>
          </w:p>
        </w:tc>
        <w:tc>
          <w:tcPr>
            <w:tcW w:type="dxa" w:w="4968"/>
            <w:vAlign w:val="center"/>
          </w:tcPr>
          <w:p>
            <w:r>
              <w:t>目标覆盖、跨环境、数据量、Server→Server 信任边界</w:t>
            </w:r>
          </w:p>
        </w:tc>
      </w:tr>
    </w:tbl>
    <w:p>
      <w:pPr>
        <w:pStyle w:val="Heading1"/>
      </w:pPr>
      <w:r>
        <w:t>18. Docker Tool 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</w:tcPr>
          <w:p>
            <w:r>
              <w:rPr>
                <w:rFonts w:ascii="Aptos" w:hAnsi="Aptos" w:eastAsia="Microsoft YaHei"/>
                <w:b/>
                <w:color w:val="17365D"/>
              </w:rPr>
              <w:t>动作</w:t>
            </w:r>
          </w:p>
        </w:tc>
        <w:tc>
          <w:tcPr>
            <w:tcW w:type="dxa" w:w="4968"/>
            <w:shd w:fill="D9EAF7"/>
          </w:tcPr>
          <w:p>
            <w:r>
              <w:rPr>
                <w:rFonts w:ascii="Aptos" w:hAnsi="Aptos" w:eastAsia="Microsoft YaHei"/>
                <w:b/>
                <w:color w:val="17365D"/>
              </w:rPr>
              <w:t>建议默认</w:t>
            </w:r>
          </w:p>
        </w:tc>
      </w:tr>
      <w:tr>
        <w:tc>
          <w:tcPr>
            <w:tcW w:type="dxa" w:w="4968"/>
            <w:vAlign w:val="center"/>
          </w:tcPr>
          <w:p>
            <w:r>
              <w:t>list/inspect/logs/stats</w:t>
            </w:r>
          </w:p>
        </w:tc>
        <w:tc>
          <w:tcPr>
            <w:tcW w:type="dxa" w:w="4968"/>
            <w:vAlign w:val="center"/>
          </w:tcPr>
          <w:p>
            <w:r>
              <w:t>SAFE</w:t>
            </w:r>
          </w:p>
        </w:tc>
      </w:tr>
      <w:tr>
        <w:tc>
          <w:tcPr>
            <w:tcW w:type="dxa" w:w="4968"/>
            <w:vAlign w:val="center"/>
          </w:tcPr>
          <w:p>
            <w:r>
              <w:t>exec read-only command</w:t>
            </w:r>
          </w:p>
        </w:tc>
        <w:tc>
          <w:tcPr>
            <w:tcW w:type="dxa" w:w="4968"/>
            <w:vAlign w:val="center"/>
          </w:tcPr>
          <w:p>
            <w:r>
              <w:t>SAFE/CAUTION 视命令</w:t>
            </w:r>
          </w:p>
        </w:tc>
      </w:tr>
      <w:tr>
        <w:tc>
          <w:tcPr>
            <w:tcW w:type="dxa" w:w="4968"/>
            <w:vAlign w:val="center"/>
          </w:tcPr>
          <w:p>
            <w:r>
              <w:t>restart/stop</w:t>
            </w:r>
          </w:p>
        </w:tc>
        <w:tc>
          <w:tcPr>
            <w:tcW w:type="dxa" w:w="4968"/>
            <w:vAlign w:val="center"/>
          </w:tcPr>
          <w:p>
            <w:r>
              <w:t>CAUTION，production 可升 HIGH</w:t>
            </w:r>
          </w:p>
        </w:tc>
      </w:tr>
      <w:tr>
        <w:tc>
          <w:tcPr>
            <w:tcW w:type="dxa" w:w="4968"/>
            <w:vAlign w:val="center"/>
          </w:tcPr>
          <w:p>
            <w:r>
              <w:t>remove container/image/volume</w:t>
            </w:r>
          </w:p>
        </w:tc>
        <w:tc>
          <w:tcPr>
            <w:tcW w:type="dxa" w:w="4968"/>
            <w:vAlign w:val="center"/>
          </w:tcPr>
          <w:p>
            <w:r>
              <w:t>HIGH</w:t>
            </w:r>
          </w:p>
        </w:tc>
      </w:tr>
      <w:tr>
        <w:tc>
          <w:tcPr>
            <w:tcW w:type="dxa" w:w="4968"/>
            <w:vAlign w:val="center"/>
          </w:tcPr>
          <w:p>
            <w:r>
              <w:t>docker system prune</w:t>
            </w:r>
          </w:p>
        </w:tc>
        <w:tc>
          <w:tcPr>
            <w:tcW w:type="dxa" w:w="4968"/>
            <w:vAlign w:val="center"/>
          </w:tcPr>
          <w:p>
            <w:r>
              <w:t>BLOCKED/HIGH 强策略</w:t>
            </w:r>
          </w:p>
        </w:tc>
      </w:tr>
    </w:tbl>
    <w:p>
      <w:pPr>
        <w:pStyle w:val="Heading1"/>
      </w:pPr>
      <w:r>
        <w:t>19. Kubernetes Tool 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</w:tcPr>
          <w:p>
            <w:r>
              <w:rPr>
                <w:rFonts w:ascii="Aptos" w:hAnsi="Aptos" w:eastAsia="Microsoft YaHei"/>
                <w:b/>
                <w:color w:val="17365D"/>
              </w:rPr>
              <w:t>动作</w:t>
            </w:r>
          </w:p>
        </w:tc>
        <w:tc>
          <w:tcPr>
            <w:tcW w:type="dxa" w:w="4968"/>
            <w:shd w:fill="D9EAF7"/>
          </w:tcPr>
          <w:p>
            <w:r>
              <w:rPr>
                <w:rFonts w:ascii="Aptos" w:hAnsi="Aptos" w:eastAsia="Microsoft YaHei"/>
                <w:b/>
                <w:color w:val="17365D"/>
              </w:rPr>
              <w:t>建议默认</w:t>
            </w:r>
          </w:p>
        </w:tc>
      </w:tr>
      <w:tr>
        <w:tc>
          <w:tcPr>
            <w:tcW w:type="dxa" w:w="4968"/>
            <w:vAlign w:val="center"/>
          </w:tcPr>
          <w:p>
            <w:r>
              <w:t>get/list/logs/events</w:t>
            </w:r>
          </w:p>
        </w:tc>
        <w:tc>
          <w:tcPr>
            <w:tcW w:type="dxa" w:w="4968"/>
            <w:vAlign w:val="center"/>
          </w:tcPr>
          <w:p>
            <w:r>
              <w:t>SAFE</w:t>
            </w:r>
          </w:p>
        </w:tc>
      </w:tr>
      <w:tr>
        <w:tc>
          <w:tcPr>
            <w:tcW w:type="dxa" w:w="4968"/>
            <w:vAlign w:val="center"/>
          </w:tcPr>
          <w:p>
            <w:r>
              <w:t>exec</w:t>
            </w:r>
          </w:p>
        </w:tc>
        <w:tc>
          <w:tcPr>
            <w:tcW w:type="dxa" w:w="4968"/>
            <w:vAlign w:val="center"/>
          </w:tcPr>
          <w:p>
            <w:r>
              <w:t>按容器内命令二次评估</w:t>
            </w:r>
          </w:p>
        </w:tc>
      </w:tr>
      <w:tr>
        <w:tc>
          <w:tcPr>
            <w:tcW w:type="dxa" w:w="4968"/>
            <w:vAlign w:val="center"/>
          </w:tcPr>
          <w:p>
            <w:r>
              <w:t>apply patch</w:t>
            </w:r>
          </w:p>
        </w:tc>
        <w:tc>
          <w:tcPr>
            <w:tcW w:type="dxa" w:w="4968"/>
            <w:vAlign w:val="center"/>
          </w:tcPr>
          <w:p>
            <w:r>
              <w:t>CAUTION/HIGH，展示 YAML diff</w:t>
            </w:r>
          </w:p>
        </w:tc>
      </w:tr>
      <w:tr>
        <w:tc>
          <w:tcPr>
            <w:tcW w:type="dxa" w:w="4968"/>
            <w:vAlign w:val="center"/>
          </w:tcPr>
          <w:p>
            <w:r>
              <w:t>rollout restart</w:t>
            </w:r>
          </w:p>
        </w:tc>
        <w:tc>
          <w:tcPr>
            <w:tcW w:type="dxa" w:w="4968"/>
            <w:vAlign w:val="center"/>
          </w:tcPr>
          <w:p>
            <w:r>
              <w:t>CAUTION；prod/batch 可升 HIGH</w:t>
            </w:r>
          </w:p>
        </w:tc>
      </w:tr>
      <w:tr>
        <w:tc>
          <w:tcPr>
            <w:tcW w:type="dxa" w:w="4968"/>
            <w:vAlign w:val="center"/>
          </w:tcPr>
          <w:p>
            <w:r>
              <w:t>delete resource</w:t>
            </w:r>
          </w:p>
        </w:tc>
        <w:tc>
          <w:tcPr>
            <w:tcW w:type="dxa" w:w="4968"/>
            <w:vAlign w:val="center"/>
          </w:tcPr>
          <w:p>
            <w:r>
              <w:t>HIGH；Namespace/PVC 等可硬阻断</w:t>
            </w:r>
          </w:p>
        </w:tc>
      </w:tr>
    </w:tbl>
    <w:p>
      <w:pPr>
        <w:pStyle w:val="Heading1"/>
      </w:pPr>
      <w:r>
        <w:t>20. Shell 风险解析</w:t>
      </w:r>
    </w:p>
    <w:p>
      <w:r>
        <w:t>早期可采用“命令解析 + deny/boost 规则 + target/environment 评分”，不要试图仅靠 LLM 判断危险性。对 shell pipeline、重定向、subshell、sudo、wildcard、路径规范化进行显式识别。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</w:tcPr>
          <w:p>
            <w:r>
              <w:rPr>
                <w:rFonts w:ascii="Aptos" w:hAnsi="Aptos" w:eastAsia="Microsoft YaHei"/>
                <w:b/>
                <w:color w:val="17365D"/>
              </w:rPr>
              <w:t>模式</w:t>
            </w:r>
          </w:p>
        </w:tc>
        <w:tc>
          <w:tcPr>
            <w:tcW w:type="dxa" w:w="4968"/>
            <w:shd w:fill="D9EAF7"/>
          </w:tcPr>
          <w:p>
            <w:r>
              <w:rPr>
                <w:rFonts w:ascii="Aptos" w:hAnsi="Aptos" w:eastAsia="Microsoft YaHei"/>
                <w:b/>
                <w:color w:val="17365D"/>
              </w:rPr>
              <w:t>风险提升</w:t>
            </w:r>
          </w:p>
        </w:tc>
      </w:tr>
      <w:tr>
        <w:tc>
          <w:tcPr>
            <w:tcW w:type="dxa" w:w="4968"/>
            <w:vAlign w:val="center"/>
          </w:tcPr>
          <w:p>
            <w:r>
              <w:t>sudo / su</w:t>
            </w:r>
          </w:p>
        </w:tc>
        <w:tc>
          <w:tcPr>
            <w:tcW w:type="dxa" w:w="4968"/>
            <w:vAlign w:val="center"/>
          </w:tcPr>
          <w:p>
            <w:r>
              <w:t>Privilege +</w:t>
            </w:r>
          </w:p>
        </w:tc>
      </w:tr>
      <w:tr>
        <w:tc>
          <w:tcPr>
            <w:tcW w:type="dxa" w:w="4968"/>
            <w:vAlign w:val="center"/>
          </w:tcPr>
          <w:p>
            <w:r>
              <w:t>rm -r / wildcard</w:t>
            </w:r>
          </w:p>
        </w:tc>
        <w:tc>
          <w:tcPr>
            <w:tcW w:type="dxa" w:w="4968"/>
            <w:vAlign w:val="center"/>
          </w:tcPr>
          <w:p>
            <w:r>
              <w:t>Destructive +</w:t>
            </w:r>
          </w:p>
        </w:tc>
      </w:tr>
      <w:tr>
        <w:tc>
          <w:tcPr>
            <w:tcW w:type="dxa" w:w="4968"/>
            <w:vAlign w:val="center"/>
          </w:tcPr>
          <w:p>
            <w:r>
              <w:t>&gt; / &gt;&gt; 系统配置</w:t>
            </w:r>
          </w:p>
        </w:tc>
        <w:tc>
          <w:tcPr>
            <w:tcW w:type="dxa" w:w="4968"/>
            <w:vAlign w:val="center"/>
          </w:tcPr>
          <w:p>
            <w:r>
              <w:t>Write +</w:t>
            </w:r>
          </w:p>
        </w:tc>
      </w:tr>
      <w:tr>
        <w:tc>
          <w:tcPr>
            <w:tcW w:type="dxa" w:w="4968"/>
            <w:vAlign w:val="center"/>
          </w:tcPr>
          <w:p>
            <w:r>
              <w:t>curl | sh</w:t>
            </w:r>
          </w:p>
        </w:tc>
        <w:tc>
          <w:tcPr>
            <w:tcW w:type="dxa" w:w="4968"/>
            <w:vAlign w:val="center"/>
          </w:tcPr>
          <w:p>
            <w:r>
              <w:t>Remote code +，默认强阻断/强确认</w:t>
            </w:r>
          </w:p>
        </w:tc>
      </w:tr>
      <w:tr>
        <w:tc>
          <w:tcPr>
            <w:tcW w:type="dxa" w:w="4968"/>
            <w:vAlign w:val="center"/>
          </w:tcPr>
          <w:p>
            <w:r>
              <w:t>iptables/nft</w:t>
            </w:r>
          </w:p>
        </w:tc>
        <w:tc>
          <w:tcPr>
            <w:tcW w:type="dxa" w:w="4968"/>
            <w:vAlign w:val="center"/>
          </w:tcPr>
          <w:p>
            <w:r>
              <w:t>Network critical +</w:t>
            </w:r>
          </w:p>
        </w:tc>
      </w:tr>
      <w:tr>
        <w:tc>
          <w:tcPr>
            <w:tcW w:type="dxa" w:w="4968"/>
            <w:vAlign w:val="center"/>
          </w:tcPr>
          <w:p>
            <w:r>
              <w:t>mkfs/dd</w:t>
            </w:r>
          </w:p>
        </w:tc>
        <w:tc>
          <w:tcPr>
            <w:tcW w:type="dxa" w:w="4968"/>
            <w:vAlign w:val="center"/>
          </w:tcPr>
          <w:p>
            <w:r>
              <w:t>Destructive critical</w:t>
            </w:r>
          </w:p>
        </w:tc>
      </w:tr>
      <w:tr>
        <w:tc>
          <w:tcPr>
            <w:tcW w:type="dxa" w:w="4968"/>
            <w:vAlign w:val="center"/>
          </w:tcPr>
          <w:p>
            <w:r>
              <w:t>shutdown/reboot</w:t>
            </w:r>
          </w:p>
        </w:tc>
        <w:tc>
          <w:tcPr>
            <w:tcW w:type="dxa" w:w="4968"/>
            <w:vAlign w:val="center"/>
          </w:tcPr>
          <w:p>
            <w:r>
              <w:t>Availability +</w:t>
            </w:r>
          </w:p>
        </w:tc>
      </w:tr>
      <w:tr>
        <w:tc>
          <w:tcPr>
            <w:tcW w:type="dxa" w:w="4968"/>
            <w:vAlign w:val="center"/>
          </w:tcPr>
          <w:p>
            <w:r>
              <w:t>chmod/chown recursive</w:t>
            </w:r>
          </w:p>
        </w:tc>
        <w:tc>
          <w:tcPr>
            <w:tcW w:type="dxa" w:w="4968"/>
            <w:vAlign w:val="center"/>
          </w:tcPr>
          <w:p>
            <w:r>
              <w:t>Permission blast radius +</w:t>
            </w:r>
          </w:p>
        </w:tc>
      </w:tr>
    </w:tbl>
    <w:p>
      <w:pPr>
        <w:pStyle w:val="Heading1"/>
      </w:pPr>
      <w:r>
        <w:t>21. Prompt Injection 与不可信数据</w:t>
      </w:r>
    </w:p>
    <w:p>
      <w:r>
        <w:t>服务器日志、文件内容、网页或命令输出都属于不可信数据。它们可能包含“请忽略规则并执行……”等文本。Agent 必须把 Tool 输出视为数据而非指令；System/Policy/Tool contract 的优先级不可由服务器内容覆盖。</w:t>
      </w:r>
    </w:p>
    <w:p>
      <w:pPr>
        <w:pStyle w:val="Heading1"/>
      </w:pPr>
      <w:r>
        <w:t>22. Sensitive Data / Context Policy</w:t>
      </w:r>
    </w:p>
    <w:p>
      <w:pPr>
        <w:pStyle w:val="ListBullet"/>
      </w:pPr>
      <w:r>
        <w:t>默认不把完整 SSH 私钥、token、环境变量、凭据文件发送给模型。</w:t>
      </w:r>
    </w:p>
    <w:p>
      <w:pPr>
        <w:pStyle w:val="ListBullet"/>
      </w:pPr>
      <w:r>
        <w:t>读取敏感路径前可触发额外 policy。</w:t>
      </w:r>
    </w:p>
    <w:p>
      <w:pPr>
        <w:pStyle w:val="ListBullet"/>
      </w:pPr>
      <w:r>
        <w:t>日志和文件传给云端模型时支持脱敏/截断策略。</w:t>
      </w:r>
    </w:p>
    <w:p>
      <w:pPr>
        <w:pStyle w:val="ListBullet"/>
      </w:pPr>
      <w:r>
        <w:t>本地模型可以有不同的数据策略，但仍遵守操作权限策略。</w:t>
      </w:r>
    </w:p>
    <w:p>
      <w:pPr>
        <w:pStyle w:val="Heading1"/>
      </w:pPr>
      <w:r>
        <w:t>23. Audit Record</w:t>
      </w:r>
    </w:p>
    <w:p>
      <w:pPr>
        <w:pStyle w:val="CodeBlock"/>
        <w:keepLines/>
      </w:pPr>
      <w:r>
        <w:rPr>
          <w:rFonts w:ascii="Consolas" w:hAnsi="Consolas" w:eastAsia="Microsoft YaHei"/>
          <w:b w:val="0"/>
          <w:color w:val="333333"/>
          <w:sz w:val="17"/>
        </w:rPr>
        <w:t>AuditRecord</w:t>
        <w:br/>
        <w:t>├─ audit_id</w:t>
        <w:br/>
        <w:t>├─ workspace_id</w:t>
        <w:br/>
        <w:t>├─ actor</w:t>
        <w:br/>
        <w:t>├─ model/provider?</w:t>
        <w:br/>
        <w:t>├─ tool_name/version</w:t>
        <w:br/>
        <w:t>├─ target</w:t>
        <w:br/>
        <w:t>├─ arguments_digest</w:t>
        <w:br/>
        <w:t>├─ risk / decision</w:t>
        <w:br/>
        <w:t>├─ approval_id?</w:t>
        <w:br/>
        <w:t>├─ result / changed_resources</w:t>
        <w:br/>
        <w:t>└─ timestamps</w:t>
      </w:r>
    </w:p>
    <w:p>
      <w:r>
        <w:t>对敏感参数可只保存摘要/hash 和受控字段，避免审计系统本身成为秘密泄露源。</w:t>
      </w:r>
    </w:p>
    <w:p>
      <w:pPr>
        <w:pStyle w:val="Heading1"/>
      </w:pPr>
      <w:r>
        <w:t>24. Tool 版本兼容</w:t>
      </w:r>
    </w:p>
    <w:p>
      <w:r>
        <w:t>Tool name 长期稳定，schema 变更通过 version 管理。破坏性变更提升 major；AI Provider 的工具描述从 Registry 动态生成。对模型无法支持某种 schema 特性的情况，由 adapter 做降级。</w:t>
      </w:r>
    </w:p>
    <w:p>
      <w:pPr>
        <w:pStyle w:val="Heading1"/>
      </w:pPr>
      <w:r>
        <w:t>25. V0.1 Tool 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9EAF7"/>
          </w:tcPr>
          <w:p>
            <w:r>
              <w:rPr>
                <w:rFonts w:ascii="Aptos" w:hAnsi="Aptos" w:eastAsia="Microsoft YaHei"/>
                <w:b/>
                <w:color w:val="17365D"/>
              </w:rPr>
              <w:t>Tool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Aptos" w:hAnsi="Aptos" w:eastAsia="Microsoft YaHei"/>
                <w:b/>
                <w:color w:val="17365D"/>
              </w:rPr>
              <w:t>风险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Aptos" w:hAnsi="Aptos" w:eastAsia="Microsoft YaHei"/>
                <w:b/>
                <w:color w:val="17365D"/>
              </w:rPr>
              <w:t>用途</w:t>
            </w:r>
          </w:p>
        </w:tc>
      </w:tr>
      <w:tr>
        <w:tc>
          <w:tcPr>
            <w:tcW w:type="dxa" w:w="3312"/>
            <w:vAlign w:val="center"/>
          </w:tcPr>
          <w:p>
            <w:r>
              <w:t>server.info</w:t>
            </w:r>
          </w:p>
        </w:tc>
        <w:tc>
          <w:tcPr>
            <w:tcW w:type="dxa" w:w="3312"/>
            <w:vAlign w:val="center"/>
          </w:tcPr>
          <w:p>
            <w:r>
              <w:t>SAFE</w:t>
            </w:r>
          </w:p>
        </w:tc>
        <w:tc>
          <w:tcPr>
            <w:tcW w:type="dxa" w:w="3312"/>
            <w:vAlign w:val="center"/>
          </w:tcPr>
          <w:p>
            <w:r>
              <w:t>OS/Kernel/Hostname/Arch</w:t>
            </w:r>
          </w:p>
        </w:tc>
      </w:tr>
      <w:tr>
        <w:tc>
          <w:tcPr>
            <w:tcW w:type="dxa" w:w="3312"/>
            <w:vAlign w:val="center"/>
          </w:tcPr>
          <w:p>
            <w:r>
              <w:t>system.memory</w:t>
            </w:r>
          </w:p>
        </w:tc>
        <w:tc>
          <w:tcPr>
            <w:tcW w:type="dxa" w:w="3312"/>
            <w:vAlign w:val="center"/>
          </w:tcPr>
          <w:p>
            <w:r>
              <w:t>SAFE</w:t>
            </w:r>
          </w:p>
        </w:tc>
        <w:tc>
          <w:tcPr>
            <w:tcW w:type="dxa" w:w="3312"/>
            <w:vAlign w:val="center"/>
          </w:tcPr>
          <w:p>
            <w:r>
              <w:t>内存概况</w:t>
            </w:r>
          </w:p>
        </w:tc>
      </w:tr>
      <w:tr>
        <w:tc>
          <w:tcPr>
            <w:tcW w:type="dxa" w:w="3312"/>
            <w:vAlign w:val="center"/>
          </w:tcPr>
          <w:p>
            <w:r>
              <w:t>system.disk</w:t>
            </w:r>
          </w:p>
        </w:tc>
        <w:tc>
          <w:tcPr>
            <w:tcW w:type="dxa" w:w="3312"/>
            <w:vAlign w:val="center"/>
          </w:tcPr>
          <w:p>
            <w:r>
              <w:t>SAFE</w:t>
            </w:r>
          </w:p>
        </w:tc>
        <w:tc>
          <w:tcPr>
            <w:tcW w:type="dxa" w:w="3312"/>
            <w:vAlign w:val="center"/>
          </w:tcPr>
          <w:p>
            <w:r>
              <w:t>磁盘概况</w:t>
            </w:r>
          </w:p>
        </w:tc>
      </w:tr>
      <w:tr>
        <w:tc>
          <w:tcPr>
            <w:tcW w:type="dxa" w:w="3312"/>
            <w:vAlign w:val="center"/>
          </w:tcPr>
          <w:p>
            <w:r>
              <w:t>process.list</w:t>
            </w:r>
          </w:p>
        </w:tc>
        <w:tc>
          <w:tcPr>
            <w:tcW w:type="dxa" w:w="3312"/>
            <w:vAlign w:val="center"/>
          </w:tcPr>
          <w:p>
            <w:r>
              <w:t>SAFE</w:t>
            </w:r>
          </w:p>
        </w:tc>
        <w:tc>
          <w:tcPr>
            <w:tcW w:type="dxa" w:w="3312"/>
            <w:vAlign w:val="center"/>
          </w:tcPr>
          <w:p>
            <w:r>
              <w:t>进程列表/排序</w:t>
            </w:r>
          </w:p>
        </w:tc>
      </w:tr>
      <w:tr>
        <w:tc>
          <w:tcPr>
            <w:tcW w:type="dxa" w:w="3312"/>
            <w:vAlign w:val="center"/>
          </w:tcPr>
          <w:p>
            <w:r>
              <w:t>process.inspect</w:t>
            </w:r>
          </w:p>
        </w:tc>
        <w:tc>
          <w:tcPr>
            <w:tcW w:type="dxa" w:w="3312"/>
            <w:vAlign w:val="center"/>
          </w:tcPr>
          <w:p>
            <w:r>
              <w:t>SAFE</w:t>
            </w:r>
          </w:p>
        </w:tc>
        <w:tc>
          <w:tcPr>
            <w:tcW w:type="dxa" w:w="3312"/>
            <w:vAlign w:val="center"/>
          </w:tcPr>
          <w:p>
            <w:r>
              <w:t>单进程信息</w:t>
            </w:r>
          </w:p>
        </w:tc>
      </w:tr>
      <w:tr>
        <w:tc>
          <w:tcPr>
            <w:tcW w:type="dxa" w:w="3312"/>
            <w:vAlign w:val="center"/>
          </w:tcPr>
          <w:p>
            <w:r>
              <w:t>network.ports</w:t>
            </w:r>
          </w:p>
        </w:tc>
        <w:tc>
          <w:tcPr>
            <w:tcW w:type="dxa" w:w="3312"/>
            <w:vAlign w:val="center"/>
          </w:tcPr>
          <w:p>
            <w:r>
              <w:t>SAFE</w:t>
            </w:r>
          </w:p>
        </w:tc>
        <w:tc>
          <w:tcPr>
            <w:tcW w:type="dxa" w:w="3312"/>
            <w:vAlign w:val="center"/>
          </w:tcPr>
          <w:p>
            <w:r>
              <w:t>监听端口</w:t>
            </w:r>
          </w:p>
        </w:tc>
      </w:tr>
      <w:tr>
        <w:tc>
          <w:tcPr>
            <w:tcW w:type="dxa" w:w="3312"/>
            <w:vAlign w:val="center"/>
          </w:tcPr>
          <w:p>
            <w:r>
              <w:t>service.status</w:t>
            </w:r>
          </w:p>
        </w:tc>
        <w:tc>
          <w:tcPr>
            <w:tcW w:type="dxa" w:w="3312"/>
            <w:vAlign w:val="center"/>
          </w:tcPr>
          <w:p>
            <w:r>
              <w:t>SAFE</w:t>
            </w:r>
          </w:p>
        </w:tc>
        <w:tc>
          <w:tcPr>
            <w:tcW w:type="dxa" w:w="3312"/>
            <w:vAlign w:val="center"/>
          </w:tcPr>
          <w:p>
            <w:r>
              <w:t>systemd service 状态</w:t>
            </w:r>
          </w:p>
        </w:tc>
      </w:tr>
      <w:tr>
        <w:tc>
          <w:tcPr>
            <w:tcW w:type="dxa" w:w="3312"/>
            <w:vAlign w:val="center"/>
          </w:tcPr>
          <w:p>
            <w:r>
              <w:t>service.logs</w:t>
            </w:r>
          </w:p>
        </w:tc>
        <w:tc>
          <w:tcPr>
            <w:tcW w:type="dxa" w:w="3312"/>
            <w:vAlign w:val="center"/>
          </w:tcPr>
          <w:p>
            <w:r>
              <w:t>SAFE</w:t>
            </w:r>
          </w:p>
        </w:tc>
        <w:tc>
          <w:tcPr>
            <w:tcW w:type="dxa" w:w="3312"/>
            <w:vAlign w:val="center"/>
          </w:tcPr>
          <w:p>
            <w:r>
              <w:t>最近日志</w:t>
            </w:r>
          </w:p>
        </w:tc>
      </w:tr>
      <w:tr>
        <w:tc>
          <w:tcPr>
            <w:tcW w:type="dxa" w:w="3312"/>
            <w:vAlign w:val="center"/>
          </w:tcPr>
          <w:p>
            <w:r>
              <w:t>service.restart</w:t>
            </w:r>
          </w:p>
        </w:tc>
        <w:tc>
          <w:tcPr>
            <w:tcW w:type="dxa" w:w="3312"/>
            <w:vAlign w:val="center"/>
          </w:tcPr>
          <w:p>
            <w:r>
              <w:t>CAUTION</w:t>
            </w:r>
          </w:p>
        </w:tc>
        <w:tc>
          <w:tcPr>
            <w:tcW w:type="dxa" w:w="3312"/>
            <w:vAlign w:val="center"/>
          </w:tcPr>
          <w:p>
            <w:r>
              <w:t>重启服务</w:t>
            </w:r>
          </w:p>
        </w:tc>
      </w:tr>
      <w:tr>
        <w:tc>
          <w:tcPr>
            <w:tcW w:type="dxa" w:w="3312"/>
            <w:vAlign w:val="center"/>
          </w:tcPr>
          <w:p>
            <w:r>
              <w:t>shell.execute</w:t>
            </w:r>
          </w:p>
        </w:tc>
        <w:tc>
          <w:tcPr>
            <w:tcW w:type="dxa" w:w="3312"/>
            <w:vAlign w:val="center"/>
          </w:tcPr>
          <w:p>
            <w:r>
              <w:t>Dynamic</w:t>
            </w:r>
          </w:p>
        </w:tc>
        <w:tc>
          <w:tcPr>
            <w:tcW w:type="dxa" w:w="3312"/>
            <w:vAlign w:val="center"/>
          </w:tcPr>
          <w:p>
            <w:r>
              <w:t>fallback，严格评估</w:t>
            </w:r>
          </w:p>
        </w:tc>
      </w:tr>
    </w:tbl>
    <w:p>
      <w:pPr>
        <w:pStyle w:val="Heading1"/>
      </w:pPr>
      <w:r>
        <w:t>26. V0.1 验收场景</w:t>
      </w:r>
    </w:p>
    <w:p>
      <w:pPr>
        <w:pStyle w:val="Heading2"/>
      </w:pPr>
      <w:r>
        <w:t>26.1 高内存诊断</w:t>
      </w:r>
    </w:p>
    <w:p>
      <w:pPr>
        <w:pStyle w:val="CodeBlock"/>
        <w:keepLines/>
      </w:pPr>
      <w:r>
        <w:rPr>
          <w:rFonts w:ascii="Consolas" w:hAnsi="Consolas" w:eastAsia="Microsoft YaHei"/>
          <w:b w:val="0"/>
          <w:color w:val="333333"/>
          <w:sz w:val="17"/>
        </w:rPr>
        <w:t>User: 为什么内存这么高？</w:t>
        <w:br/>
        <w:t>AI → system.memory</w:t>
        <w:br/>
        <w:t>AI → process.list(sort=memory, limit=10)</w:t>
        <w:br/>
        <w:t>AI → process.inspect(pid=...)</w:t>
        <w:br/>
        <w:t>AI → diagnosis</w:t>
        <w:br/>
        <w:br/>
        <w:t>期望：全程无需写操作，不弹确认。</w:t>
      </w:r>
    </w:p>
    <w:p>
      <w:pPr>
        <w:pStyle w:val="Heading2"/>
      </w:pPr>
      <w:r>
        <w:t>26.2 重启 nginx</w:t>
      </w:r>
    </w:p>
    <w:p>
      <w:pPr>
        <w:pStyle w:val="CodeBlock"/>
        <w:keepLines/>
      </w:pPr>
      <w:r>
        <w:rPr>
          <w:rFonts w:ascii="Consolas" w:hAnsi="Consolas" w:eastAsia="Microsoft YaHei"/>
          <w:b w:val="0"/>
          <w:color w:val="333333"/>
          <w:sz w:val="17"/>
        </w:rPr>
        <w:t>User: 帮我重启 nginx</w:t>
        <w:br/>
        <w:t>AI → service.status(nginx)</w:t>
        <w:br/>
        <w:t>AI → service.restart(nginx)</w:t>
        <w:br/>
        <w:t>Policy → CAUTION → confirmation</w:t>
        <w:br/>
        <w:t>User approves</w:t>
        <w:br/>
        <w:t>Execution → restart</w:t>
        <w:br/>
        <w:t>AI → service.status(nginx)</w:t>
        <w:br/>
        <w:t>AI → final verification</w:t>
        <w:br/>
        <w:br/>
        <w:t>期望：没有批准时绝不执行 restart。</w:t>
      </w:r>
    </w:p>
    <w:p>
      <w:pPr>
        <w:pStyle w:val="Heading1"/>
      </w:pPr>
      <w:r>
        <w:t>27. 非功能要求</w:t>
      </w:r>
    </w:p>
    <w:p>
      <w:pPr>
        <w:pStyle w:val="ListBullet"/>
      </w:pPr>
      <w:r>
        <w:t>Policy decision 必须确定性强，LLM 只能提供理由/建议，不能最终覆盖硬策略。</w:t>
      </w:r>
    </w:p>
    <w:p>
      <w:pPr>
        <w:pStyle w:val="ListBullet"/>
      </w:pPr>
      <w:r>
        <w:t>Approval UI 与 execution 参数必须绑定。</w:t>
      </w:r>
    </w:p>
    <w:p>
      <w:pPr>
        <w:pStyle w:val="ListBullet"/>
      </w:pPr>
      <w:r>
        <w:t>所有 Tool 支持 timeout；长工具支持 cancellation/progress。</w:t>
      </w:r>
    </w:p>
    <w:p>
      <w:pPr>
        <w:pStyle w:val="ListBullet"/>
      </w:pPr>
      <w:r>
        <w:t>Tool Result 的 raw output 有长度上限。</w:t>
      </w:r>
    </w:p>
    <w:p>
      <w:pPr>
        <w:pStyle w:val="ListBullet"/>
      </w:pPr>
      <w:r>
        <w:t>对写操作设计幂等性或重复执行保护（能做到时）。</w:t>
      </w:r>
    </w:p>
    <w:p>
      <w:pPr>
        <w:pStyle w:val="ListBullet"/>
      </w:pPr>
      <w:r>
        <w:t>每次 AI Tool call 都可追溯到 conversation/message。</w:t>
      </w:r>
    </w:p>
    <w:p>
      <w:pPr>
        <w:pStyle w:val="Heading1"/>
      </w:pPr>
      <w:r>
        <w:t>28. 后续演进</w:t>
      </w:r>
    </w:p>
    <w:p>
      <w:r>
        <w:t>未来可增加组织级 RBAC、环境标签策略、审批流、变更窗口、策略模板、dry-run、自动回滚、Tool capability sandbox、远程执行代理等，但不能破坏“所有操作统一经过 Tool → Policy → Execution → Audit”的主链路。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b w:val="0"/>
        <w:color w:val="666666"/>
        <w:sz w:val="16"/>
      </w:rPr>
      <w:t>AI SSH Desktop · Confidential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icrosoft YaHei"/>
        <w:b w:val="0"/>
        <w:color w:val="666666"/>
        <w:sz w:val="16"/>
      </w:rPr>
      <w:t>AI SSH Desktop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88" w:right="144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