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UEBA 后端 Index 表结构设计</w:t>
      </w:r>
    </w:p>
    <w:p>
      <w:pPr>
        <w:spacing w:after="260"/>
        <w:jc w:val="left"/>
      </w:pPr>
      <w:r>
        <w:rPr>
          <w:b/>
          <w:sz w:val="22"/>
        </w:rPr>
        <w:t>基于 elasticsearch-storage-full 1.1.0 的实现说明</w:t>
      </w:r>
    </w:p>
    <w:p>
      <w:r>
        <w:t>本文说明当前后端如何用 Elasticsearch Data Stream、普通索引、组件模板和路由管道组织 UEBA 数据。结论是：统一事件按业务域分流，实体和当前状态使用可更新普通索引，关系、特征、异常和风险流水使用追加型 Data Stream；所有派生对象通过稳定 ID、时间窗口和版本字段关联，不复制整份原始日志。</w:t>
      </w:r>
    </w:p>
    <w:p>
      <w:pPr>
        <w:pStyle w:val="Heading1"/>
      </w:pPr>
      <w:r>
        <w:t>1 设计目标和边界</w:t>
      </w:r>
    </w:p>
    <w:p>
      <w:pPr>
        <w:pStyle w:val="ListBullet"/>
        <w:spacing w:after="60"/>
      </w:pPr>
      <w:r>
        <w:t>用稳定语义合同支持跨来源查询、实体解析、特征计算、异常检测和调查取证。</w:t>
      </w:r>
    </w:p>
    <w:p>
      <w:pPr>
        <w:pStyle w:val="ListBullet"/>
        <w:spacing w:after="60"/>
      </w:pPr>
      <w:r>
        <w:t>按对象的写入模型和生命周期选存储形态，不按厂商、用户或单台设备建索引。</w:t>
      </w:r>
    </w:p>
    <w:p>
      <w:pPr>
        <w:pStyle w:val="ListBullet"/>
        <w:spacing w:after="60"/>
      </w:pPr>
      <w:r>
        <w:t>对高价值字段建立显式 Mapping；长尾来源字段放入 vendor.payload flattened，原文独立保存。</w:t>
      </w:r>
    </w:p>
    <w:p>
      <w:pPr>
        <w:pStyle w:val="ListBullet"/>
        <w:spacing w:after="60"/>
      </w:pPr>
      <w:r>
        <w:t>用 strict Mapping、字段数量上限、版本化模板和隔离流控制 Mapping Explosion 与不兼容变更。</w:t>
      </w:r>
    </w:p>
    <w:p>
      <w:pPr>
        <w:pStyle w:val="Heading1"/>
      </w:pPr>
      <w:r>
        <w:t>2 索引总体分层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227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索引模式</w:t>
            </w:r>
          </w:p>
        </w:tc>
        <w:tc>
          <w:tcPr>
            <w:tcW w:type="dxa" w:w="1123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形态</w:t>
            </w:r>
          </w:p>
        </w:tc>
        <w:tc>
          <w:tcPr>
            <w:tcW w:type="dxa" w:w="1699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主键或时间键</w:t>
            </w:r>
          </w:p>
        </w:tc>
        <w:tc>
          <w:tcPr>
            <w:tcW w:type="dxa" w:w="252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职责</w:t>
            </w:r>
          </w:p>
        </w:tc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默认周期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原始证据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logs-ueba.raw-&lt;namespace&gt;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 + event.id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回放、审计、取证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30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统一入口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logs-ueba.ingress-&lt;namespace&gt;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分类、校验、路由；不长期保存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入口型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统一事件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logs-ueba.&lt;domain&gt;-&lt;namespace&gt;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 + event.id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跨来源标准行为事实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90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隔离事件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logs-ueba.quarantine-&lt;namespace&gt;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invalid unsupported 和业务错误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按治理策略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实体当前视图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ueba-entities-v&lt;schema&gt;-&lt;namespace&gt;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普通索引 + Alias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entity.id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人员、账号、设备、IP、应用当前状态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长期当前态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时态关系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ueba-entity-relations-&lt;namespace&gt;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 + relation.id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用户 账号 设备 IP 的有效期关系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365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行为特征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ueba-features-&lt;namespace&gt;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实体 + 窗口 + feature.version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窗口统计和维度特征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180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行为基线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ueba-baselines-v&lt;schema&gt;-&lt;namespace&gt;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普通索引 + Alias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baseline.id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当前发布基线和训练元数据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版本保留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异常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ueba-anomalies-&lt;namespace&gt;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 + anomaly.id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异常结果、解释和证据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365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风险流水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ueba-risk-events-&lt;namespace&gt;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Data Stream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@timestamp + risk.id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风险增量、衰减、关联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365 天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当前风险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ueba-entity-risk-current-v&lt;schema&gt;-&lt;namespace&gt;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普通索引 + Alias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entity.id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实体最新风险快照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长期当前态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案件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ueba-cases-v&lt;schema&gt;-&lt;namespace&gt;</w:t>
            </w:r>
          </w:p>
        </w:tc>
        <w:tc>
          <w:tcPr>
            <w:tcW w:type="dxa" w:w="1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普通索引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case.id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调查状态、处置、反馈</w:t>
            </w:r>
          </w:p>
        </w:tc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业务留存</w:t>
            </w:r>
          </w:p>
        </w:tc>
      </w:tr>
    </w:tbl>
    <w:p>
      <w:pPr>
        <w:spacing w:after="0"/>
      </w:pPr>
    </w:p>
    <w:p>
      <w:pPr>
        <w:pStyle w:val="Heading1"/>
      </w:pPr>
      <w:r>
        <w:t>3 统一事件索引结构</w:t>
      </w:r>
    </w:p>
    <w:p>
      <w:r>
        <w:t>统一事件模板采用“公共组件 + 单一领域组件”的组合。公共组件管理所有事件都需要的时间、租户、来源、质量、证据和版本字段；领域组件只增加该领域可被查询、关联或检测使用的 ECS 字段。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logs-ueba.authentication-*</w:t>
      </w:r>
      <w:r>
        <w:br/>
      </w:r>
      <w:r>
        <w:rPr>
          <w:rFonts w:ascii="Consolas" w:hAnsi="Consolas" w:eastAsia="Microsoft YaHei"/>
          <w:sz w:val="18"/>
        </w:rPr>
        <w:t xml:space="preserve">  = ueba-normalized-event-common@1.1.0</w:t>
      </w:r>
      <w:r>
        <w:br/>
      </w:r>
      <w:r>
        <w:rPr>
          <w:rFonts w:ascii="Consolas" w:hAnsi="Consolas" w:eastAsia="Microsoft YaHei"/>
          <w:sz w:val="18"/>
        </w:rPr>
        <w:t xml:space="preserve">  + ueba-normalized-event-authentication@1.1.0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4608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领域字段组</w:t>
            </w:r>
          </w:p>
        </w:tc>
        <w:tc>
          <w:tcPr>
            <w:tcW w:type="dxa" w:w="33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典型事实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authentication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用户、目标用户、组、主机、源/目的地址、client/server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Windows 登录、VPN、IdP、Linux SSH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iam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用户、目标用户、组、主机、源地址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账号、组、权限变更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directory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用户、组、主机、源地址、文件/目录对象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AD LDAP 对象访问与变更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endpoint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主机、用户、进程、父进程、文件、软件包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进程、服务、注册表、模块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network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源/目的端点、方向、协议、字节包数、观察者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Zeek conn、防火墙、NDR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dns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网络端点、观察者、DNS 问题与响应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查询名、类型、响应码、解析 IP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web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网络端点、HTTP、URL、User Agent、观察者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HTTP 请求和响应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tls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网络端点、TLS 版本/套件/状态、观察者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TLS 会话与证书观察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file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主机、用户、网络端点、文件与哈希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文件访问、创建、传输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session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用户、主机、网络端点、UEBA 会话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VPN、DHCP、堡垒机会话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alert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主机、用户、网络端点、规则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Zeek notice、EDR、IDS、DLP 告警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state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主机、用户、服务、软件包、观察者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资产和服务状态观察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metric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主机、服务、观察者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采集、传感器和 Pipeline 指标</w:t>
            </w:r>
          </w:p>
        </w:tc>
      </w:tr>
    </w:tbl>
    <w:p>
      <w:pPr>
        <w:spacing w:after="0"/>
      </w:pPr>
    </w:p>
    <w:p>
      <w:pPr>
        <w:pStyle w:val="Heading1"/>
      </w:pPr>
      <w:r>
        <w:t>4 公共字段合同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52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代表字段</w:t>
            </w:r>
          </w:p>
        </w:tc>
        <w:tc>
          <w:tcPr>
            <w:tcW w:type="dxa" w:w="259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设计用途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身份与时间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@timestamp event.id event.created event.ingested event.start event.end event.duration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窗口计算、去重、排序和回放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事件语义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event.kind category type action outcome code dataset；ueba.event.type semantic_tags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跨来源分类与检测合同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租户与位置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organization.id；data_stream.type dataset namespace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隔离、授权和物理落点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来源合同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vendor.name product dataset schema_version payload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识别输入格式并保留未晋升字段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路由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ueba.route.domain dataset rule_id version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证明由哪条受控规则落到哪个域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质量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ueba.quality.status score errors warnings usable_for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按用例判断 qualified partial invalid unsupported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可追溯性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ueba.provenance.raw_event_id raw_uri raw_sha256 parser mapping 版本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从派生事实回查原始证据和处理版本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时间质量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ueba.time.source quality original original_timezone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识别准确时间或 fallback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长尾与原文</w:t>
            </w:r>
          </w:p>
        </w:tc>
        <w:tc>
          <w:tcPr>
            <w:tcW w:type="dxa" w:w="52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vendor.payload flattened；event.original index false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防字段爆炸；保留回查信息</w:t>
            </w:r>
          </w:p>
        </w:tc>
      </w:tr>
    </w:tbl>
    <w:p>
      <w:pPr>
        <w:spacing w:after="0"/>
      </w:pPr>
    </w:p>
    <w:p>
      <w:pPr>
        <w:pStyle w:val="Heading1"/>
      </w:pPr>
      <w:r>
        <w:t>5 派生索引结构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5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索引</w:t>
            </w:r>
          </w:p>
        </w:tc>
        <w:tc>
          <w:tcPr>
            <w:tcW w:type="dxa" w:w="51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263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写入语义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entities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entity.id type subtype name status criticality attributes source_refs identifiers.* version resolution.*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以 entity.id 做幂等 upsert；不同标识归并到稳定实体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entity-relations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relation.id type source target valid_from valid_to confidence evidence_event_ids resolution_version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按事件时间解析 logged_on assigned_ip owns uses 等关系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features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entity.* feature.id/version value values unit dimensions sample_count window.* inputs.* quality.*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一条记录表达某实体某时间窗的一项特征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baselines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baseline.* training.* model.* versions.*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保存实体或同伴组对某特征的统计分布和模型版本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anomalies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anomaly.* entity.* feature.* baseline.* evidence.* explanation.* detection.* quality.*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保存当前值、期望值、偏离、原因和证据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risk-events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risk.id type score_delta before after level reason_codes expires_at entity.* evidence.* calculation.*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不可变风险账本，支持回放、衰减和审计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entity-risk-current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entity.* risk.score level status first_seen last_updated top_reason_codes latest.* calculation.*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按实体覆盖更新的快速查询视图</w:t>
            </w:r>
          </w:p>
        </w:tc>
      </w:tr>
      <w:tr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cases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case.* feedback.* entities.* evidence.* version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调查工作流与模型反馈闭环</w:t>
            </w:r>
          </w:p>
        </w:tc>
      </w:tr>
    </w:tbl>
    <w:p>
      <w:pPr>
        <w:spacing w:after="0"/>
      </w:pPr>
    </w:p>
    <w:p>
      <w:pPr>
        <w:pStyle w:val="Heading1"/>
      </w:pPr>
      <w:r>
        <w:t>6 写入链路和关联规则</w:t>
      </w:r>
    </w:p>
    <w:p>
      <w:pPr>
        <w:spacing w:before="40" w:after="160"/>
        <w:ind w:left="360"/>
      </w:pPr>
      <w:r>
        <w:rPr>
          <w:rFonts w:ascii="Consolas" w:hAnsi="Consolas" w:eastAsia="Microsoft YaHei"/>
          <w:sz w:val="18"/>
        </w:rPr>
        <w:t>来源原文 → raw evidence</w:t>
      </w:r>
      <w:r>
        <w:br/>
      </w:r>
      <w:r>
        <w:rPr>
          <w:rFonts w:ascii="Consolas" w:hAnsi="Consolas" w:eastAsia="Microsoft YaHei"/>
          <w:sz w:val="18"/>
        </w:rPr>
        <w:t>标准化输入 → ingress → classifier → validate → router</w:t>
      </w:r>
      <w:r>
        <w:br/>
      </w:r>
      <w:r>
        <w:rPr>
          <w:rFonts w:ascii="Consolas" w:hAnsi="Consolas" w:eastAsia="Microsoft YaHei"/>
          <w:sz w:val="18"/>
        </w:rPr>
        <w:t xml:space="preserve">             → logs-ueba.&lt;domain&gt;-*</w:t>
      </w:r>
      <w:r>
        <w:br/>
      </w:r>
      <w:r>
        <w:rPr>
          <w:rFonts w:ascii="Consolas" w:hAnsi="Consolas" w:eastAsia="Microsoft YaHei"/>
          <w:sz w:val="18"/>
        </w:rPr>
        <w:t xml:space="preserve">             → entity resolution → entities / entity-relations</w:t>
      </w:r>
      <w:r>
        <w:br/>
      </w:r>
      <w:r>
        <w:rPr>
          <w:rFonts w:ascii="Consolas" w:hAnsi="Consolas" w:eastAsia="Microsoft YaHei"/>
          <w:sz w:val="18"/>
        </w:rPr>
        <w:t xml:space="preserve">             → feature jobs → features / baselines</w:t>
      </w:r>
      <w:r>
        <w:br/>
      </w:r>
      <w:r>
        <w:rPr>
          <w:rFonts w:ascii="Consolas" w:hAnsi="Consolas" w:eastAsia="Microsoft YaHei"/>
          <w:sz w:val="18"/>
        </w:rPr>
        <w:t xml:space="preserve">             → detection → anomalies → risk-events → entity-risk-current</w:t>
      </w:r>
      <w:r>
        <w:br/>
      </w:r>
      <w:r>
        <w:rPr>
          <w:rFonts w:ascii="Consolas" w:hAnsi="Consolas" w:eastAsia="Microsoft YaHei"/>
          <w:sz w:val="18"/>
        </w:rPr>
        <w:t xml:space="preserve">             → analyst workflow → cases</w:t>
      </w:r>
    </w:p>
    <w:p>
      <w:pPr>
        <w:pStyle w:val="ListBullet"/>
        <w:spacing w:after="60"/>
      </w:pPr>
      <w:r>
        <w:t>生产者只写 ingress；分类器按 vendor.dataset 与 event.code 或 record_type 匹配注册表。</w:t>
      </w:r>
    </w:p>
    <w:p>
      <w:pPr>
        <w:pStyle w:val="ListBullet"/>
        <w:spacing w:after="60"/>
      </w:pPr>
      <w:r>
        <w:t>event.category、event.type 和 ueba.event.type 只表达语义，不直接决定物理路由。</w:t>
      </w:r>
    </w:p>
    <w:p>
      <w:pPr>
        <w:pStyle w:val="ListBullet"/>
        <w:spacing w:after="60"/>
      </w:pPr>
      <w:r>
        <w:t>派生记录必须保存输入 event.id、relation.id、feature.id 以及 mapping/resolution/model/rule 版本。</w:t>
      </w:r>
    </w:p>
    <w:p>
      <w:pPr>
        <w:pStyle w:val="ListBullet"/>
        <w:spacing w:after="60"/>
      </w:pPr>
      <w:r>
        <w:t>同一事件只落一个主事件域；多用途通过 semantic_tags 和 usable_for 表达，避免重复计数。</w:t>
      </w:r>
    </w:p>
    <w:p>
      <w:pPr>
        <w:pStyle w:val="Heading1"/>
      </w:pPr>
      <w:r>
        <w:t>7 Mapping 与容量约束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控制项</w:t>
            </w:r>
          </w:p>
        </w:tc>
        <w:tc>
          <w:tcPr>
            <w:tcW w:type="dxa" w:w="518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当前设计</w:t>
            </w:r>
          </w:p>
        </w:tc>
        <w:tc>
          <w:tcPr>
            <w:tcW w:type="dxa" w:w="266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目的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动态策略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统一事件和派生对象采用 strict；quarantine 可容纳异常输入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未知字段不能静默扩张生产 Mapping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字段上限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统一事件 2500；实体/关系/特征/基线/风险多为 400 到 600；原始证据 200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限制 Mapping Explosion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对象深度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统一事件 depth limit 20，nested fields limit 20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控制复杂对象结构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文本类型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精确键 keyword；长检索文本 match_only_text；命令行和 URL wildcard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与查询方式匹配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数值类型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计数 long；测量值 double；置信度和质量分 scaled_float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兼顾聚合精度与存储</w:t>
            </w:r>
          </w:p>
        </w:tc>
      </w:tr>
      <w:tr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副本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Data Stream 原型 auto_expand_replicas 0-1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单节点可运行，多节点自动增加一个副本</w:t>
            </w:r>
          </w:p>
        </w:tc>
      </w:tr>
    </w:tbl>
    <w:p>
      <w:pPr>
        <w:spacing w:after="0"/>
      </w:pPr>
    </w:p>
    <w:p>
      <w:pPr>
        <w:pStyle w:val="Heading1"/>
      </w:pPr>
      <w:r>
        <w:t>8 生命周期与版本策略</w:t>
      </w:r>
    </w:p>
    <w:p>
      <w:pPr>
        <w:pStyle w:val="ListBullet"/>
        <w:spacing w:after="60"/>
      </w:pPr>
      <w:r>
        <w:t>raw evidence 默认 30 天；normalized events 默认 90 天；features 默认 180 天；relations 和 analysis records 默认 365 天。实际值需按合规、训练窗口与调查回溯期校准。</w:t>
      </w:r>
    </w:p>
    <w:p>
      <w:pPr>
        <w:pStyle w:val="ListBullet"/>
        <w:spacing w:after="60"/>
      </w:pPr>
      <w:r>
        <w:t>可更新对象通过带 schema 版本的物理索引和稳定 Alias 发布；Data Stream 通过不可变组件模板版本演进。</w:t>
      </w:r>
    </w:p>
    <w:p>
      <w:pPr>
        <w:pStyle w:val="ListBullet"/>
        <w:spacing w:after="60"/>
      </w:pPr>
      <w:r>
        <w:t>新增可选字段属于 Minor 版本；改类型、改语义、删除字段或改变数组/标量形态属于 Breaking 变化，需要新目标索引与回放迁移。</w:t>
      </w:r>
    </w:p>
    <w:p>
      <w:pPr>
        <w:pStyle w:val="ListBullet"/>
        <w:spacing w:after="60"/>
      </w:pPr>
      <w:r>
        <w:t>上线顺序为安装不可变模板和 Pipeline、模拟摄取、样例回放、影子运行、比较结果、切换写入或读取别名，再停用旧版本。</w:t>
      </w:r>
    </w:p>
    <w:p>
      <w:pPr>
        <w:pStyle w:val="Heading1"/>
      </w:pPr>
      <w:r>
        <w:t>9 后端实现验收</w:t>
      </w:r>
    </w:p>
    <w:p>
      <w:pPr>
        <w:pStyle w:val="ListBullet"/>
        <w:spacing w:after="60"/>
      </w:pPr>
      <w:r>
        <w:t>所有 index template 均能被 Elasticsearch 接受，组合后的 Mapping 无冲突。</w:t>
      </w:r>
    </w:p>
    <w:p>
      <w:pPr>
        <w:pStyle w:val="ListBullet"/>
        <w:spacing w:after="60"/>
      </w:pPr>
      <w:r>
        <w:t>入口事件被路由到唯一领域；非法域、缺关键字段或不支持来源进入 quarantine。</w:t>
      </w:r>
    </w:p>
    <w:p>
      <w:pPr>
        <w:pStyle w:val="ListBullet"/>
        <w:spacing w:after="60"/>
      </w:pPr>
      <w:r>
        <w:t>event.id 与派生对象 ID 支持幂等回放，不因重复摄取增加行为计数。</w:t>
      </w:r>
    </w:p>
    <w:p>
      <w:pPr>
        <w:pStyle w:val="ListBullet"/>
        <w:spacing w:after="60"/>
      </w:pPr>
      <w:r>
        <w:t>用户级网络异常只有在事件时刻存在足够置信度的用户 设备 IP 关系时才允许产生。</w:t>
      </w:r>
    </w:p>
    <w:p>
      <w:pPr>
        <w:pStyle w:val="ListBullet"/>
        <w:spacing w:after="60"/>
      </w:pPr>
      <w:r>
        <w:t>Mapping、解析、关系解析、特征、模型和规则版本可从异常与风险结果追溯。</w:t>
      </w:r>
    </w:p>
    <w:p>
      <w:pPr>
        <w:pStyle w:val="ListBullet"/>
        <w:spacing w:after="60"/>
      </w:pPr>
      <w:r>
        <w:t>ILM 删除时间不短于基线训练窗口和调查证据回溯要求。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UEBA 后端 Index 表结构设计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