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UEBA 场景要素与 Index 字段对应关系</w:t>
      </w:r>
    </w:p>
    <w:p>
      <w:pPr>
        <w:spacing w:after="260"/>
        <w:jc w:val="left"/>
      </w:pPr>
      <w:r>
        <w:rPr>
          <w:b/>
          <w:sz w:val="22"/>
        </w:rPr>
        <w:t>首期检测用例的数据合同和降级规则</w:t>
      </w:r>
    </w:p>
    <w:p>
      <w:r>
        <w:t>本文把首期 UEBA 场景拆解为可执行的数据合同。每个场景必须明确输入事件域、关键字段、实体关系、特征、基线、异常和风险输出。字段出现不等于场景可用；只有事件质量、字段覆盖、关系置信度和版本条件同时满足，场景才可标记为 Ready。</w:t>
      </w:r>
    </w:p>
    <w:p>
      <w:pPr>
        <w:pStyle w:val="Heading1"/>
      </w:pPr>
      <w:r>
        <w:t>1 对应关系模型</w:t>
      </w:r>
    </w:p>
    <w:p>
      <w:pPr>
        <w:spacing w:before="40" w:after="160"/>
        <w:ind w:left="360"/>
      </w:pPr>
      <w:r>
        <w:rPr>
          <w:rFonts w:ascii="Consolas" w:hAnsi="Consolas" w:eastAsia="Microsoft YaHei"/>
          <w:sz w:val="18"/>
        </w:rPr>
        <w:t>场景</w:t>
      </w:r>
      <w:r>
        <w:br/>
      </w:r>
      <w:r>
        <w:rPr>
          <w:rFonts w:ascii="Consolas" w:hAnsi="Consolas" w:eastAsia="Microsoft YaHei"/>
          <w:sz w:val="18"/>
        </w:rPr>
        <w:t xml:space="preserve">  → 输入事件域与 ueba.event.type</w:t>
      </w:r>
      <w:r>
        <w:br/>
      </w:r>
      <w:r>
        <w:rPr>
          <w:rFonts w:ascii="Consolas" w:hAnsi="Consolas" w:eastAsia="Microsoft YaHei"/>
          <w:sz w:val="18"/>
        </w:rPr>
        <w:t xml:space="preserve">  → 必需事实字段与质量 usable_for</w:t>
      </w:r>
      <w:r>
        <w:br/>
      </w:r>
      <w:r>
        <w:rPr>
          <w:rFonts w:ascii="Consolas" w:hAnsi="Consolas" w:eastAsia="Microsoft YaHei"/>
          <w:sz w:val="18"/>
        </w:rPr>
        <w:t xml:space="preserve">  → 实体及事件时态关系</w:t>
      </w:r>
      <w:r>
        <w:br/>
      </w:r>
      <w:r>
        <w:rPr>
          <w:rFonts w:ascii="Consolas" w:hAnsi="Consolas" w:eastAsia="Microsoft YaHei"/>
          <w:sz w:val="18"/>
        </w:rPr>
        <w:t xml:space="preserve">  → feature.id 与窗口</w:t>
      </w:r>
      <w:r>
        <w:br/>
      </w:r>
      <w:r>
        <w:rPr>
          <w:rFonts w:ascii="Consolas" w:hAnsi="Consolas" w:eastAsia="Microsoft YaHei"/>
          <w:sz w:val="18"/>
        </w:rPr>
        <w:t xml:space="preserve">  → baseline.id 与 model.version</w:t>
      </w:r>
      <w:r>
        <w:br/>
      </w:r>
      <w:r>
        <w:rPr>
          <w:rFonts w:ascii="Consolas" w:hAnsi="Consolas" w:eastAsia="Microsoft YaHei"/>
          <w:sz w:val="18"/>
        </w:rPr>
        <w:t xml:space="preserve">  → anomaly.type 与证据引用</w:t>
      </w:r>
      <w:r>
        <w:br/>
      </w:r>
      <w:r>
        <w:rPr>
          <w:rFonts w:ascii="Consolas" w:hAnsi="Consolas" w:eastAsia="Microsoft YaHei"/>
          <w:sz w:val="18"/>
        </w:rPr>
        <w:t xml:space="preserve">  → risk event 与当前风险</w:t>
      </w:r>
      <w:r>
        <w:br/>
      </w:r>
      <w:r>
        <w:rPr>
          <w:rFonts w:ascii="Consolas" w:hAnsi="Consolas" w:eastAsia="Microsoft YaHei"/>
          <w:sz w:val="18"/>
        </w:rPr>
        <w:t xml:space="preserve">  → case 与分析反馈</w:t>
      </w:r>
    </w:p>
    <w:p>
      <w:r>
        <w:t>检测任务不能只按索引名或 event.action 判断可用性。建议为每个场景保存一份可版本化合同，至少包含 required_event_types、required_fields、required_relations、quality_gate、feature_definitions、baseline_policy、rule_version 和 output_entity_type。</w:t>
      </w:r>
    </w:p>
    <w:p>
      <w:pPr>
        <w:pStyle w:val="Heading1"/>
      </w:pPr>
      <w:r>
        <w:t>2 场景与索引总览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232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1872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输入事件域</w:t>
            </w:r>
          </w:p>
        </w:tc>
        <w:tc>
          <w:tcPr>
            <w:tcW w:type="dxa" w:w="2088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输出主体</w:t>
            </w:r>
          </w:p>
        </w:tc>
        <w:tc>
          <w:tcPr>
            <w:tcW w:type="dxa" w:w="3312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涉及派生索引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异常登录时间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authentication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account person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features baselines anomalies risk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登录失败量异常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authentication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account person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features baselines anomalies risk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非常用登录来源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authentication session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account IP person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relations features baselines anomalies risk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非常用设备登录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authentication session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account device person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entities relations features baselines anomalies risk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特权账号异常登录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authentication iam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privileged account person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entities features baselines anomalies risk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新外部目的地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network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device IP 可选 person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relations features baselines anomalies risk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异常外发字节量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network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device IP 可选 person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relations features baselines anomalies risk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稀有 DNS 域名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dns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device IP 可选 person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relations features baselines anomalies risk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罕见 HTTP User Agent 或 URL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web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device IP 可选 person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relations features baselines anomalies risk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新进程或罕见进程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endpoint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device account 可选 person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entities features baselines anomalies risk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敏感组成员变化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iam directory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actor target group person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entities features anomalies risk cases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疑似分片上传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web network file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device IP 可选 person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upload sessions features baselines anomalies risk</w:t>
            </w:r>
          </w:p>
        </w:tc>
      </w:tr>
    </w:tbl>
    <w:p>
      <w:pPr>
        <w:spacing w:after="0"/>
      </w:pPr>
    </w:p>
    <w:p>
      <w:pPr>
        <w:pStyle w:val="Heading1"/>
      </w:pPr>
      <w:r>
        <w:t>3 场景字段合同</w:t>
      </w:r>
    </w:p>
    <w:p>
      <w:pPr>
        <w:pStyle w:val="Heading2"/>
      </w:pPr>
      <w:r>
        <w:t>3.1 异常登录时间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656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要素</w:t>
            </w:r>
          </w:p>
        </w:tc>
        <w:tc>
          <w:tcPr>
            <w:tcW w:type="dxa" w:w="7848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对应关系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输入事件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logs-ueba.authentication-*；ueba.event.type=authentication.login；event.outcome=success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必需字段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@timestamp、event.id、organization.id、user.id 或可规范化的 user.name/domain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条件字段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source.ip、host.id/hostname、ueba.time.quality；远程登录要求来源地址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实体关系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账号到人员关系用于人员输出；仅账号评分时可不解析 person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特征索引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auth.login.hour_histogram、auth.login.off_hours_count；窗口按账号和租户分组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基线索引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账号或同伴组的登录时段分布，保存训练区间、样本量和 model.version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异常和风险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anomaly.type=unusual_login_time；evidence.event_ids 引用登录事件；风险写入 account，关系可靠时可汇总 person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降级门禁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时间使用 fallback、账号缺失或样本不足时 unavailable；不得用接收时间伪装行为时间</w:t>
            </w:r>
          </w:p>
        </w:tc>
      </w:tr>
    </w:tbl>
    <w:p>
      <w:pPr>
        <w:spacing w:after="0"/>
      </w:pPr>
    </w:p>
    <w:p>
      <w:pPr>
        <w:pStyle w:val="Heading2"/>
      </w:pPr>
      <w:r>
        <w:t>3.2 登录失败量异常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656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要素</w:t>
            </w:r>
          </w:p>
        </w:tc>
        <w:tc>
          <w:tcPr>
            <w:tcW w:type="dxa" w:w="7848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对应关系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输入事件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logs-ueba.authentication-*；authentication.login；event.outcome=failure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必需字段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@timestamp、event.id、event.outcome、user 标识；统计源可为 Windows 或 VPN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条件字段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source.ip、host.id、event.code、event.reason 用于拆分原因和调查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实体关系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账号到人员关系用于人员风险；来源 IP 可作为独立实体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特征索引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auth.failure_count、auth.distinct_source_count、auth.failure_then_success；固定 5m 1h 24h 窗口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基线索引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账号自身与同伴组失败量分布；记录输入事件数和缺失率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异常和风险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anomaly.type=login_failure_volume 或 failure_then_success；风险原因引用规则与窗口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降级门禁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结果字段缺失、重复控制失败或采集窗口不完整时禁止产出 未发现异常</w:t>
            </w:r>
          </w:p>
        </w:tc>
      </w:tr>
    </w:tbl>
    <w:p>
      <w:pPr>
        <w:spacing w:after="0"/>
      </w:pPr>
    </w:p>
    <w:p>
      <w:pPr>
        <w:pStyle w:val="Heading2"/>
      </w:pPr>
      <w:r>
        <w:t>3.3 非常用登录来源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656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要素</w:t>
            </w:r>
          </w:p>
        </w:tc>
        <w:tc>
          <w:tcPr>
            <w:tcW w:type="dxa" w:w="7848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对应关系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输入事件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authentication 或 session；成功登录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必需字段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@timestamp、user 标识、source.ip、event.outcome、event.id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条件字段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source.geo、network.type、ueba.session.type、VPN 会话信息用于解释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实体关系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账号 person 必要于人员输出；VPN 分配地址关系应按 valid_from valid_to 解析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特征索引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auth.source_first_seen、auth.source_frequency、auth.distinct_sources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基线索引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账号历史来源集合或网段 地理 ASN 分布，明确冷启动策略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异常和风险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anomaly.type=unusual_login_source；evidence 同时引用认证和可用的会话关系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降级门禁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source.ip 缺失则场景 unavailable；不能把 NAT 出口长期等同于个人设备</w:t>
            </w:r>
          </w:p>
        </w:tc>
      </w:tr>
    </w:tbl>
    <w:p>
      <w:pPr>
        <w:spacing w:after="0"/>
      </w:pPr>
    </w:p>
    <w:p>
      <w:pPr>
        <w:pStyle w:val="Heading2"/>
      </w:pPr>
      <w:r>
        <w:t>3.4 非常用设备登录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656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要素</w:t>
            </w:r>
          </w:p>
        </w:tc>
        <w:tc>
          <w:tcPr>
            <w:tcW w:type="dxa" w:w="7848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对应关系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输入事件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authentication；可辅以 session 与资产状态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必需字段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@timestamp、user 标识、host.id/hostname 或等价稳定设备标识、event.outcome=success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条件字段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source.ip、host.ip、设备共享标志、资产 criticality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实体关系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account uses device 和 account belongs_to person；关系必须覆盖事件时刻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特征索引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auth.device_first_seen、auth.device_frequency、auth.distinct_devices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基线索引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账号常用设备集合；共享设备与跳板机需单独策略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异常和风险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anomaly.type=new_or_rare_device_login；风险先归账号/设备，满足关系门槛后归人员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降级门禁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只有 IP 而没有稳定设备键时最多输出 非常用来源，不能声称新设备</w:t>
            </w:r>
          </w:p>
        </w:tc>
      </w:tr>
    </w:tbl>
    <w:p>
      <w:pPr>
        <w:spacing w:after="0"/>
      </w:pPr>
    </w:p>
    <w:p>
      <w:pPr>
        <w:pStyle w:val="Heading2"/>
      </w:pPr>
      <w:r>
        <w:t>3.5 特权账号异常登录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656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要素</w:t>
            </w:r>
          </w:p>
        </w:tc>
        <w:tc>
          <w:tcPr>
            <w:tcW w:type="dxa" w:w="7848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对应关系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输入事件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authentication + iam；Windows 4672 或身份主档提供特权属性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必需字段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@timestamp、account 实体、登录结果、特权标识或角色、event.id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条件字段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source.ip、host.id、登录类型、session.id、目标系统 criticality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实体关系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account belongs_to person；privileged_role assigned_to account；目标设备关系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特征索引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priv.login_count、priv.off_hours_count、priv.new_source、priv.new_device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基线索引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特权账号单独基线，禁止与普通账号同池训练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异常和风险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anomaly.type=privileged_account_login_anomaly；risk reason_codes 保留特权上下文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降级门禁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无法证明账号特权属性时不能输出特权场景，只能进入普通登录检测</w:t>
            </w:r>
          </w:p>
        </w:tc>
      </w:tr>
    </w:tbl>
    <w:p>
      <w:pPr>
        <w:spacing w:after="0"/>
      </w:pPr>
    </w:p>
    <w:p>
      <w:pPr>
        <w:pStyle w:val="Heading2"/>
      </w:pPr>
      <w:r>
        <w:t>3.6 新外部目的地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656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要素</w:t>
            </w:r>
          </w:p>
        </w:tc>
        <w:tc>
          <w:tcPr>
            <w:tcW w:type="dxa" w:w="7848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对应关系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输入事件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logs-ueba.network-*；网络连接建立或可判定的通信事实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必需字段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@timestamp、source.ip、destination.ip、event.id、network.direction 或可验证的方向规则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条件字段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destination.port、network.protocol、community_id、observer.*、字节包数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实体关系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source IP assigned_ip device；用户输出还需 device logged_on account/person 的时态链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特征索引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net.destination_first_seen、net.destination_frequency、net.distinct_external_destinations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基线索引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设备或用户历史目的地集合；内外网边界和允许列表必须版本化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异常和风险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anomaly.type=new_external_destination；设备异常始终可独立存在，人员风险需关系门禁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降级门禁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方向未知或 NAT/共享地址无法归属时只做 IP/设备级分析</w:t>
            </w:r>
          </w:p>
        </w:tc>
      </w:tr>
    </w:tbl>
    <w:p>
      <w:pPr>
        <w:spacing w:after="0"/>
      </w:pPr>
    </w:p>
    <w:p>
      <w:pPr>
        <w:pStyle w:val="Heading2"/>
      </w:pPr>
      <w:r>
        <w:t>3.7 异常外发字节量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656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要素</w:t>
            </w:r>
          </w:p>
        </w:tc>
        <w:tc>
          <w:tcPr>
            <w:tcW w:type="dxa" w:w="7848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对应关系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输入事件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network；优先 Zeek conn 或能提供方向字节的等价来源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必需字段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@timestamp、source.ip、destination.ip、source.bytes 或可靠方向化 network.bytes、event.id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条件字段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destination.port、protocol、duration、packets、observer、质量告警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实体关系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同新外部目的地；必须使用事件时刻的设备 IP 和用户设备关系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特征索引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net.outbound_bytes_sum、net.outbound_bytes_by_destination、net.upload_ratio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基线索引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按实体、时段和业务日历的外发量分布；保存单位 bytes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异常和风险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anomaly.type=abnormal_outbound_volume；explanation 保存当前值、期望值和偏离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降级门禁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Zeek missed_bytes 或方向不可信时 partial 且禁止依赖精确流量的规则</w:t>
            </w:r>
          </w:p>
        </w:tc>
      </w:tr>
    </w:tbl>
    <w:p>
      <w:pPr>
        <w:spacing w:after="0"/>
      </w:pPr>
    </w:p>
    <w:p>
      <w:pPr>
        <w:pStyle w:val="Heading2"/>
      </w:pPr>
      <w:r>
        <w:t>3.8 稀有 DNS 域名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656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要素</w:t>
            </w:r>
          </w:p>
        </w:tc>
        <w:tc>
          <w:tcPr>
            <w:tcW w:type="dxa" w:w="7848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对应关系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输入事件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logs-ueba.dns-*；DNS query/response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必需字段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@timestamp、source.ip、dns.question.name、event.id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条件字段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dns.question.type、response_code、resolved_ip、observer、destination.ip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实体关系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source IP 到设备；用户输出需完整时态归属链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特征索引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dns.domain_first_seen、dns.domain_frequency、dns.distinct_domains、dns.nxdomain_rate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基线索引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设备 用户 同伴组域名频率；域名规范化与公共后缀规则要版本化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异常和风险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anomaly.type=rare_dns_domain；证据引用 DNS 事件，可关联后续网络连接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降级门禁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查询名缺失时 unavailable；仅有解析器汇总指标不能替代逐查询行为</w:t>
            </w:r>
          </w:p>
        </w:tc>
      </w:tr>
    </w:tbl>
    <w:p>
      <w:pPr>
        <w:spacing w:after="0"/>
      </w:pPr>
    </w:p>
    <w:p>
      <w:pPr>
        <w:pStyle w:val="Heading2"/>
      </w:pPr>
      <w:r>
        <w:t>3.9 罕见 HTTP User Agent 或 URL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656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要素</w:t>
            </w:r>
          </w:p>
        </w:tc>
        <w:tc>
          <w:tcPr>
            <w:tcW w:type="dxa" w:w="7848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对应关系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输入事件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logs-ueba.web-*；HTTP 请求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必需字段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@timestamp、source.ip、event.id，以及 user_agent.original 或 url.original/full 至少一项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条件字段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http.request.method、status_code、url.domain/path/query、destination、字节数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实体关系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source IP 到设备；用户级输出需 account/person 的事件时态关系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特征索引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web.user_agent_frequency、web.url_frequency、web.new_domain、web.request_count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基线索引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对 UA 和 URL 分开建模；URL 参数需脱敏和规范化后再做基线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异常和风险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anomaly.type=rare_user_agent 或 rare_url；证据引用 Web 事件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降级门禁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TLS 未解密且无代理日志时不可宣称 URL 场景可用；只有域名时降级为域名场景</w:t>
            </w:r>
          </w:p>
        </w:tc>
      </w:tr>
    </w:tbl>
    <w:p>
      <w:pPr>
        <w:spacing w:after="0"/>
      </w:pPr>
    </w:p>
    <w:p>
      <w:pPr>
        <w:pStyle w:val="Heading2"/>
      </w:pPr>
      <w:r>
        <w:t>3.10 新进程或罕见进程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656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要素</w:t>
            </w:r>
          </w:p>
        </w:tc>
        <w:tc>
          <w:tcPr>
            <w:tcW w:type="dxa" w:w="7848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对应关系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输入事件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logs-ueba.endpoint-*；Windows 4688 或 EDR process start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必需字段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@timestamp、host.id/hostname、process.executable 或 process.name、event.id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条件字段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user、parent process、command_line、args、hash、签名和目标设备 criticality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实体关系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host 对应 device；user/account 到 person 用于人员输出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特征索引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proc.first_seen、proc.frequency、proc.parent_child_frequency、proc.command_pattern_frequency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基线索引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按设备、设备类型、用户和同伴组建立；路径大小写和参数需规范化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异常和风险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anomaly.type=new_or_rare_process；可分别归设备和账号，证据保留命令行引用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降级门禁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缺进程名/路径则 unavailable；缺父进程或命令行时仅降级相关子规则</w:t>
            </w:r>
          </w:p>
        </w:tc>
      </w:tr>
    </w:tbl>
    <w:p>
      <w:pPr>
        <w:spacing w:after="0"/>
      </w:pPr>
    </w:p>
    <w:p>
      <w:pPr>
        <w:pStyle w:val="Heading2"/>
      </w:pPr>
      <w:r>
        <w:t>3.11 敏感组成员变化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656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要素</w:t>
            </w:r>
          </w:p>
        </w:tc>
        <w:tc>
          <w:tcPr>
            <w:tcW w:type="dxa" w:w="7848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对应关系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输入事件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logs-ueba.iam-* 或 directory-*；group membership change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必需字段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@timestamp、actor user、target user/account、group.id/name、event.action/type、event.id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条件字段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host、source.ip、event.outcome、reason、敏感组标签和审批引用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实体关系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actor performs change；target member_of group；account belongs_to person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特征索引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iam.sensitive_group_change_count、iam.actor_target_pair_frequency；可直接规则检测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基线索引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管理员正常变更范围与时段；敏感组目录由治理配置版本化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异常和风险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anomaly.type=sensitive_group_membership_change；风险可同时归 actor、target 和 group，并创建 case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降级门禁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不能区分 Subject 与 Target 时不得归责；缺敏感组目录时只能记录普通组变更</w:t>
            </w:r>
          </w:p>
        </w:tc>
      </w:tr>
    </w:tbl>
    <w:p>
      <w:pPr>
        <w:spacing w:after="0"/>
      </w:pPr>
    </w:p>
    <w:p>
      <w:pPr>
        <w:pStyle w:val="Heading2"/>
      </w:pPr>
      <w:r>
        <w:t>3.12 疑似分片上传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656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要素</w:t>
            </w:r>
          </w:p>
        </w:tc>
        <w:tc>
          <w:tcPr>
            <w:tcW w:type="dxa" w:w="7848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对应关系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输入事件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logs-ueba.web-* 为主，关联 network-* 与 file-*；web.request 可附 upload 语义标签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必需字段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@timestamp、event.id、organization.id、source.ip 或设备键、destination.ip/domain、http.request.method、http.request.body.bytes 或可靠出站字节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条件字段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upload session ID、part number/count、Content Range、URL、file ID/name/size/hash、Zeek orig_fuids、status code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实体关系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source IP assigned_ip device；用户输出还需事件时刻有效的 device logged_on account/person 关系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特征索引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upload.part_count、upload.bytes_sum、upload.concurrent_sessions、upload.new_destination、upload.retry_ratio；窗口按会话与实体分组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基线索引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设备或用户的上传量、分片数、目的地和时间分布；应用层正文与网络层字节分别建模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异常和风险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有稳定 upload.session.id 时写入 ueba-upload-sessions-* 并聚合完整度；异常输出 chunked_upload_suspected 或 abnormal_chunked_upload，证据引用所有相关分片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降级门禁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缺会话 ID 时仅做时间窗口启发式关联并标记 partial/低置信；无法证明文件 ID、总大小或哈希时不得声称完整文件已上传或具体文件已泄露</w:t>
            </w:r>
          </w:p>
        </w:tc>
      </w:tr>
    </w:tbl>
    <w:p>
      <w:pPr>
        <w:spacing w:after="0"/>
      </w:pPr>
    </w:p>
    <w:p>
      <w:r>
        <w:t>首期能力边界如下。分片字段尚未进入正式公共 Mapping 时，可先保存在 vendor.payload；输出只能标记为疑似分片上传或异常外发，不得绕过 strict Mapping，也不得把启发式聚合解释为确定的完整文件上传。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880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能力</w:t>
            </w:r>
          </w:p>
        </w:tc>
        <w:tc>
          <w:tcPr>
            <w:tcW w:type="dxa" w:w="1656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首期状态</w:t>
            </w:r>
          </w:p>
        </w:tc>
        <w:tc>
          <w:tcPr>
            <w:tcW w:type="dxa" w:w="4968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数据条件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单个上传请求识别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可支持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方法、正文长度或文件关联足以证明上传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分片请求字节统计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可支持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明确应用层或网络层口径，不重复相加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短时间大量分片上传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有条件支持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窗口完整且主体与目的地可识别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多个分片归并为一次上传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有条件支持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必须获得稳定 upload.session.id 或等价厂商字段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完整文件大小和哈希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暂不保证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只有来源提供完整文件事实时才能填写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重传和断点续传去重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暂不保证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需要 part number、range、ETag 或等价幂等键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具体文件外泄判定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不支持直接定性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首期只能输出疑似上传或异常外发，需要 DLP、文件审计等证据增强</w:t>
            </w:r>
          </w:p>
        </w:tc>
      </w:tr>
    </w:tbl>
    <w:p>
      <w:pPr>
        <w:spacing w:after="0"/>
      </w:pPr>
    </w:p>
    <w:p>
      <w:pPr>
        <w:pStyle w:val="Heading1"/>
      </w:pPr>
      <w:r>
        <w:t>4 跨场景公共字段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584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合同要素</w:t>
            </w:r>
          </w:p>
        </w:tc>
        <w:tc>
          <w:tcPr>
            <w:tcW w:type="dxa" w:w="3816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4104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约束</w:t>
            </w:r>
          </w:p>
        </w:tc>
      </w:tr>
      <w:t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租户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organization.id</w:t>
            </w:r>
          </w:p>
        </w:tc>
        <w:tc>
          <w:tcPr>
            <w:tcW w:type="dxa" w:w="41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所有查询、聚合、关系和风险必须按租户隔离</w:t>
            </w:r>
          </w:p>
        </w:tc>
      </w:tr>
      <w:t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事件主键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event.id</w:t>
            </w:r>
          </w:p>
        </w:tc>
        <w:tc>
          <w:tcPr>
            <w:tcW w:type="dxa" w:w="41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幂等摄取、证据引用、回放去重</w:t>
            </w:r>
          </w:p>
        </w:tc>
      </w:tr>
      <w:t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稳定语义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ueba.event.type</w:t>
            </w:r>
          </w:p>
        </w:tc>
        <w:tc>
          <w:tcPr>
            <w:tcW w:type="dxa" w:w="41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检测优先依赖受控事件类型，不依赖自由字符串 event.action</w:t>
            </w:r>
          </w:p>
        </w:tc>
      </w:tr>
      <w:t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可用性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ueba.quality.status usable_for warnings</w:t>
            </w:r>
          </w:p>
        </w:tc>
        <w:tc>
          <w:tcPr>
            <w:tcW w:type="dxa" w:w="41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按场景与子能力门禁，不把 partial 一刀切</w:t>
            </w:r>
          </w:p>
        </w:tc>
      </w:tr>
      <w:t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时间可信度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ueba.time.quality source</w:t>
            </w:r>
          </w:p>
        </w:tc>
        <w:tc>
          <w:tcPr>
            <w:tcW w:type="dxa" w:w="41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顺序和窗口敏感场景必须拒绝低质量时间</w:t>
            </w:r>
          </w:p>
        </w:tc>
      </w:tr>
      <w:t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处理版本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ueba.provenance.mapping_version parser_version</w:t>
            </w:r>
          </w:p>
        </w:tc>
        <w:tc>
          <w:tcPr>
            <w:tcW w:type="dxa" w:w="41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回放、对比和结果解释</w:t>
            </w:r>
          </w:p>
        </w:tc>
      </w:tr>
      <w:t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证据位置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raw_event_id raw_uri raw_sha256</w:t>
            </w:r>
          </w:p>
        </w:tc>
        <w:tc>
          <w:tcPr>
            <w:tcW w:type="dxa" w:w="41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调查时回查不可变原始证据</w:t>
            </w:r>
          </w:p>
        </w:tc>
      </w:tr>
      <w:t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实体版本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relation.resolution_version inputs.resolution_version</w:t>
            </w:r>
          </w:p>
        </w:tc>
        <w:tc>
          <w:tcPr>
            <w:tcW w:type="dxa" w:w="41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关系修正后定位需重算结果</w:t>
            </w:r>
          </w:p>
        </w:tc>
      </w:tr>
      <w:t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模型与规则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model.version detection.rule_version calculation.policy_version</w:t>
            </w:r>
          </w:p>
        </w:tc>
        <w:tc>
          <w:tcPr>
            <w:tcW w:type="dxa" w:w="41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保证检测结果可复现</w:t>
            </w:r>
          </w:p>
        </w:tc>
      </w:tr>
    </w:tbl>
    <w:p>
      <w:pPr>
        <w:spacing w:after="0"/>
      </w:pPr>
    </w:p>
    <w:p>
      <w:pPr>
        <w:pStyle w:val="Heading1"/>
      </w:pPr>
      <w:r>
        <w:t>5 数据就绪状态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512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5256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判定</w:t>
            </w:r>
          </w:p>
        </w:tc>
        <w:tc>
          <w:tcPr>
            <w:tcW w:type="dxa" w:w="2736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检测行为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Ready</w:t>
            </w:r>
          </w:p>
        </w:tc>
        <w:tc>
          <w:tcPr>
            <w:tcW w:type="dxa" w:w="52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事件域存在；必需字段覆盖达标；时间可信；关系置信度达标；窗口完整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正常运行并输出指定实体类型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Degraded</w:t>
            </w:r>
          </w:p>
        </w:tc>
        <w:tc>
          <w:tcPr>
            <w:tcW w:type="dxa" w:w="52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条件字段或部分子能力缺失，但核心事实仍可计算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运行受支持的子规则，附 quality warning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Unavailable</w:t>
            </w:r>
          </w:p>
        </w:tc>
        <w:tc>
          <w:tcPr>
            <w:tcW w:type="dxa" w:w="52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必需字段、事件源、时间、关系或采集窗口不满足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停止场景；输出数据不可用，不能输出未发现异常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Unsupported</w:t>
            </w:r>
          </w:p>
        </w:tc>
        <w:tc>
          <w:tcPr>
            <w:tcW w:type="dxa" w:w="52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来源或事件类型未进入映射目录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进入 quarantine 或仅保留原始证据</w:t>
            </w:r>
          </w:p>
        </w:tc>
      </w:tr>
    </w:tbl>
    <w:p>
      <w:pPr>
        <w:spacing w:after="0"/>
      </w:pPr>
    </w:p>
    <w:p>
      <w:pPr>
        <w:pStyle w:val="Heading1"/>
      </w:pPr>
      <w:r>
        <w:t>6 建议的场景合同记录</w:t>
      </w:r>
    </w:p>
    <w:p>
      <w:pPr>
        <w:spacing w:before="40" w:after="160"/>
        <w:ind w:left="360"/>
      </w:pPr>
      <w:r>
        <w:rPr>
          <w:rFonts w:ascii="Consolas" w:hAnsi="Consolas" w:eastAsia="Microsoft YaHei"/>
          <w:sz w:val="18"/>
        </w:rPr>
        <w:t>use_case.id / version / owner</w:t>
      </w:r>
      <w:r>
        <w:br/>
      </w:r>
      <w:r>
        <w:rPr>
          <w:rFonts w:ascii="Consolas" w:hAnsi="Consolas" w:eastAsia="Microsoft YaHei"/>
          <w:sz w:val="18"/>
        </w:rPr>
        <w:t>required_event_types[]</w:t>
      </w:r>
      <w:r>
        <w:br/>
      </w:r>
      <w:r>
        <w:rPr>
          <w:rFonts w:ascii="Consolas" w:hAnsi="Consolas" w:eastAsia="Microsoft YaHei"/>
          <w:sz w:val="18"/>
        </w:rPr>
        <w:t>required_fields[] / conditional_fields[]</w:t>
      </w:r>
      <w:r>
        <w:br/>
      </w:r>
      <w:r>
        <w:rPr>
          <w:rFonts w:ascii="Consolas" w:hAnsi="Consolas" w:eastAsia="Microsoft YaHei"/>
          <w:sz w:val="18"/>
        </w:rPr>
        <w:t>required_relations[] + min_confidence</w:t>
      </w:r>
      <w:r>
        <w:br/>
      </w:r>
      <w:r>
        <w:rPr>
          <w:rFonts w:ascii="Consolas" w:hAnsi="Consolas" w:eastAsia="Microsoft YaHei"/>
          <w:sz w:val="18"/>
        </w:rPr>
        <w:t>quality.required_usable_for[]</w:t>
      </w:r>
      <w:r>
        <w:br/>
      </w:r>
      <w:r>
        <w:rPr>
          <w:rFonts w:ascii="Consolas" w:hAnsi="Consolas" w:eastAsia="Microsoft YaHei"/>
          <w:sz w:val="18"/>
        </w:rPr>
        <w:t>quality.max_time_fallback_rate</w:t>
      </w:r>
      <w:r>
        <w:br/>
      </w:r>
      <w:r>
        <w:rPr>
          <w:rFonts w:ascii="Consolas" w:hAnsi="Consolas" w:eastAsia="Microsoft YaHei"/>
          <w:sz w:val="18"/>
        </w:rPr>
        <w:t>feature.id / version / window / dimensions</w:t>
      </w:r>
      <w:r>
        <w:br/>
      </w:r>
      <w:r>
        <w:rPr>
          <w:rFonts w:ascii="Consolas" w:hAnsi="Consolas" w:eastAsia="Microsoft YaHei"/>
          <w:sz w:val="18"/>
        </w:rPr>
        <w:t>baseline.model_id / model_version / min_samples</w:t>
      </w:r>
      <w:r>
        <w:br/>
      </w:r>
      <w:r>
        <w:rPr>
          <w:rFonts w:ascii="Consolas" w:hAnsi="Consolas" w:eastAsia="Microsoft YaHei"/>
          <w:sz w:val="18"/>
        </w:rPr>
        <w:t>detection.rule_id / rule_version</w:t>
      </w:r>
      <w:r>
        <w:br/>
      </w:r>
      <w:r>
        <w:rPr>
          <w:rFonts w:ascii="Consolas" w:hAnsi="Consolas" w:eastAsia="Microsoft YaHei"/>
          <w:sz w:val="18"/>
        </w:rPr>
        <w:t>output.entity_types[] / anomaly_type / risk_policy</w:t>
      </w:r>
      <w:r>
        <w:br/>
      </w:r>
      <w:r>
        <w:rPr>
          <w:rFonts w:ascii="Consolas" w:hAnsi="Consolas" w:eastAsia="Microsoft YaHei"/>
          <w:sz w:val="18"/>
        </w:rPr>
        <w:t>degradation_policy / test_cases[]</w:t>
      </w:r>
    </w:p>
    <w:p>
      <w:r>
        <w:t>这份合同建议与 Mapping、路由注册表和测试样例一起发布。任何必需字段、关系门槛、特征定义或输出主体的变化，都应触发场景版本升级和历史回放验证。</w:t>
      </w:r>
    </w:p>
    <w:p>
      <w:pPr>
        <w:pStyle w:val="Heading1"/>
      </w:pPr>
      <w:r>
        <w:t>7 验收清单</w:t>
      </w:r>
    </w:p>
    <w:p>
      <w:pPr>
        <w:pStyle w:val="ListBullet"/>
        <w:spacing w:after="60"/>
      </w:pPr>
      <w:r>
        <w:t>每个场景至少有正常、异常、缺字段、未知枚举、重复事件、乱序和来源版本变化样例。</w:t>
      </w:r>
    </w:p>
    <w:p>
      <w:pPr>
        <w:pStyle w:val="ListBullet"/>
        <w:spacing w:after="60"/>
      </w:pPr>
      <w:r>
        <w:t>事件字段能够定位到具体组件模板，场景输出能够定位到 feature、baseline、anomaly 和 risk 字段。</w:t>
      </w:r>
    </w:p>
    <w:p>
      <w:pPr>
        <w:pStyle w:val="ListBullet"/>
        <w:spacing w:after="60"/>
      </w:pPr>
      <w:r>
        <w:t>关系 valid_from valid_to 覆盖事件时间，过期或低置信度关系不会把设备异常错误归属到人员。</w:t>
      </w:r>
    </w:p>
    <w:p>
      <w:pPr>
        <w:pStyle w:val="ListBullet"/>
        <w:spacing w:after="60"/>
      </w:pPr>
      <w:r>
        <w:t>检测输入为零或 capability 不可用时返回数据不可用，而不是未发现异常。</w:t>
      </w:r>
    </w:p>
    <w:p>
      <w:pPr>
        <w:pStyle w:val="ListBullet"/>
        <w:spacing w:after="60"/>
      </w:pPr>
      <w:r>
        <w:t>重复回放不增加独立动作数；映射或关系版本变化后可定位并重算受影响窗口。</w:t>
      </w:r>
    </w:p>
    <w:p>
      <w:pPr>
        <w:pStyle w:val="ListBullet"/>
        <w:spacing w:after="60"/>
      </w:pPr>
      <w:r>
        <w:t>异常解释包含当前值、期望值、偏离、原因码、证据 ID、模型和规则版本。</w:t>
      </w:r>
    </w:p>
    <w:p>
      <w:pPr>
        <w:pStyle w:val="ListBullet"/>
        <w:spacing w:after="60"/>
      </w:pPr>
      <w:r>
        <w:t>分片上传测试覆盖正常多片、缺片、乱序、重复分片、断点续传、并发上传、缺 session ID 和方向不明等情况。</w:t>
      </w:r>
    </w:p>
    <w:sectPr w:rsidR="00FC693F" w:rsidRPr="0006063C" w:rsidSect="00034616">
      <w:footerReference w:type="default" r:id="rId9"/>
      <w:pgSz w:w="12240" w:h="15840"/>
      <w:pgMar w:top="1037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46464"/>
        <w:sz w:val="16"/>
      </w:rPr>
      <w:t>UEBA 场景要素与 Index 字段对应关系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