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UEBA 系统工作流与工作原理说明</w:t>
      </w:r>
    </w:p>
    <w:p>
      <w:pPr>
        <w:spacing w:after="260"/>
        <w:jc w:val="left"/>
      </w:pPr>
      <w:r>
        <w:rPr>
          <w:b/>
          <w:sz w:val="22"/>
        </w:rPr>
        <w:t>从异构日志接入到实体风险与调查闭环</w:t>
      </w:r>
    </w:p>
    <w:p>
      <w:r>
        <w:t>本系统把 Windows、Zeek、Linux、VPN、DHCP、HR、AD 和 CMDB 等异构数据转换为可追溯的统一事件，再通过时态实体关系、行为特征、历史基线、异常检测和风险聚合形成可调查的 UEBA 结果。核心原则是事实、关系、特征、基线和风险分层保存；每层通过稳定 ID、时间范围和版本信息关联，任何异常都能回溯到原始证据。</w:t>
      </w:r>
    </w:p>
    <w:p>
      <w:pPr>
        <w:pStyle w:val="Heading1"/>
      </w:pPr>
      <w:r>
        <w:t>1 系统目标</w:t>
      </w:r>
    </w:p>
    <w:p>
      <w:pPr>
        <w:pStyle w:val="ListBullet"/>
        <w:spacing w:after="60"/>
      </w:pPr>
      <w:r>
        <w:t>把不同厂商对同一行为的描述转换为稳定、可跨来源消费的事件语义。</w:t>
      </w:r>
    </w:p>
    <w:p>
      <w:pPr>
        <w:pStyle w:val="ListBullet"/>
        <w:spacing w:after="60"/>
      </w:pPr>
      <w:r>
        <w:t>识别人员、账号、设备、IP、应用等实体，并按事件发生时间建立关系。</w:t>
      </w:r>
    </w:p>
    <w:p>
      <w:pPr>
        <w:pStyle w:val="ListBullet"/>
        <w:spacing w:after="60"/>
      </w:pPr>
      <w:r>
        <w:t>把离散事件转换为可建模的窗口特征，形成个人或同伴组行为基线。</w:t>
      </w:r>
    </w:p>
    <w:p>
      <w:pPr>
        <w:pStyle w:val="ListBullet"/>
        <w:spacing w:after="60"/>
      </w:pPr>
      <w:r>
        <w:t>检测相对历史行为的偏离，把异常证据汇总为实体风险和调查案件。</w:t>
      </w:r>
    </w:p>
    <w:p>
      <w:pPr>
        <w:pStyle w:val="ListBullet"/>
        <w:spacing w:after="60"/>
      </w:pPr>
      <w:r>
        <w:t>在字段缺失、时间不可信或关系不足时主动降级，避免输出误导性的无异常结论。</w:t>
      </w:r>
    </w:p>
    <w:p>
      <w:pPr>
        <w:pStyle w:val="Heading1"/>
      </w:pPr>
      <w:r>
        <w:t>2 总体工作流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日志源与主数据</w:t>
      </w:r>
      <w:r>
        <w:br/>
      </w:r>
      <w:r>
        <w:rPr>
          <w:rFonts w:ascii="Consolas" w:hAnsi="Consolas" w:eastAsia="Microsoft YaHei"/>
          <w:sz w:val="18"/>
        </w:rPr>
        <w:t xml:space="preserve">  → 采集与原始证据归档</w:t>
      </w:r>
      <w:r>
        <w:br/>
      </w:r>
      <w:r>
        <w:rPr>
          <w:rFonts w:ascii="Consolas" w:hAnsi="Consolas" w:eastAsia="Microsoft YaHei"/>
          <w:sz w:val="18"/>
        </w:rPr>
        <w:t xml:space="preserve">  → Parser 解析和来源字段映射</w:t>
      </w:r>
      <w:r>
        <w:br/>
      </w:r>
      <w:r>
        <w:rPr>
          <w:rFonts w:ascii="Consolas" w:hAnsi="Consolas" w:eastAsia="Microsoft YaHei"/>
          <w:sz w:val="18"/>
        </w:rPr>
        <w:t xml:space="preserve">  → 统一事件入口 ingress</w:t>
      </w:r>
      <w:r>
        <w:br/>
      </w:r>
      <w:r>
        <w:rPr>
          <w:rFonts w:ascii="Consolas" w:hAnsi="Consolas" w:eastAsia="Microsoft YaHei"/>
          <w:sz w:val="18"/>
        </w:rPr>
        <w:t xml:space="preserve">  → 分类 classifier</w:t>
      </w:r>
      <w:r>
        <w:br/>
      </w:r>
      <w:r>
        <w:rPr>
          <w:rFonts w:ascii="Consolas" w:hAnsi="Consolas" w:eastAsia="Microsoft YaHei"/>
          <w:sz w:val="18"/>
        </w:rPr>
        <w:t xml:space="preserve">  → 质量校验 validate</w:t>
      </w:r>
      <w:r>
        <w:br/>
      </w:r>
      <w:r>
        <w:rPr>
          <w:rFonts w:ascii="Consolas" w:hAnsi="Consolas" w:eastAsia="Microsoft YaHei"/>
          <w:sz w:val="18"/>
        </w:rPr>
        <w:t xml:space="preserve">  → 领域路由 router</w:t>
      </w:r>
      <w:r>
        <w:br/>
      </w:r>
      <w:r>
        <w:rPr>
          <w:rFonts w:ascii="Consolas" w:hAnsi="Consolas" w:eastAsia="Microsoft YaHei"/>
          <w:sz w:val="18"/>
        </w:rPr>
        <w:t xml:space="preserve">  → 标准事件 Data Stream</w:t>
      </w:r>
      <w:r>
        <w:br/>
      </w:r>
      <w:r>
        <w:rPr>
          <w:rFonts w:ascii="Consolas" w:hAnsi="Consolas" w:eastAsia="Microsoft YaHei"/>
          <w:sz w:val="18"/>
        </w:rPr>
        <w:t xml:space="preserve">  → 实体解析与时态关系</w:t>
      </w:r>
      <w:r>
        <w:br/>
      </w:r>
      <w:r>
        <w:rPr>
          <w:rFonts w:ascii="Consolas" w:hAnsi="Consolas" w:eastAsia="Microsoft YaHei"/>
          <w:sz w:val="18"/>
        </w:rPr>
        <w:t xml:space="preserve">  → 窗口特征计算</w:t>
      </w:r>
      <w:r>
        <w:br/>
      </w:r>
      <w:r>
        <w:rPr>
          <w:rFonts w:ascii="Consolas" w:hAnsi="Consolas" w:eastAsia="Microsoft YaHei"/>
          <w:sz w:val="18"/>
        </w:rPr>
        <w:t xml:space="preserve">  → 行为基线训练与发布</w:t>
      </w:r>
      <w:r>
        <w:br/>
      </w:r>
      <w:r>
        <w:rPr>
          <w:rFonts w:ascii="Consolas" w:hAnsi="Consolas" w:eastAsia="Microsoft YaHei"/>
          <w:sz w:val="18"/>
        </w:rPr>
        <w:t xml:space="preserve">  → 异常检测和解释</w:t>
      </w:r>
      <w:r>
        <w:br/>
      </w:r>
      <w:r>
        <w:rPr>
          <w:rFonts w:ascii="Consolas" w:hAnsi="Consolas" w:eastAsia="Microsoft YaHei"/>
          <w:sz w:val="18"/>
        </w:rPr>
        <w:t xml:space="preserve">  → 风险聚合与当前风险</w:t>
      </w:r>
      <w:r>
        <w:br/>
      </w:r>
      <w:r>
        <w:rPr>
          <w:rFonts w:ascii="Consolas" w:hAnsi="Consolas" w:eastAsia="Microsoft YaHei"/>
          <w:sz w:val="18"/>
        </w:rPr>
        <w:t xml:space="preserve">  → 案件调查和反馈</w:t>
      </w:r>
      <w:r>
        <w:br/>
      </w:r>
      <w:r>
        <w:rPr>
          <w:rFonts w:ascii="Consolas" w:hAnsi="Consolas" w:eastAsia="Microsoft YaHei"/>
          <w:sz w:val="18"/>
        </w:rPr>
        <w:t xml:space="preserve">  → 映射 模型 规则持续迭代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6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4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主要作用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采集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日志、快照和会话数据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来源信封与原始证据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保证不丢失、可重放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解析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原始文本或 JSON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来源字段与标准候选字段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识别格式、类型和来源版本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分类校验路由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标准化输入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唯一领域事件或隔离事件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建立语义、质量和物理位置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实体解析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标准事件与主数据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实体当前视图和时态关系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回答事件发生时是谁、哪台设备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特征计算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事件与关系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实体窗口特征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把事件转成可比较数值或集合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基线训练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历史特征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个人或同伴组基线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学习正常行为范围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异常检测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当前特征与基线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异常、解释和证据引用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识别显著偏离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风险聚合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异常和上下文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风险流水与当前风险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跨时间、场景汇总风险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调查反馈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异常、风险和原始证据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案件、处置和标签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闭环验证并改进规则模型</w:t>
            </w:r>
          </w:p>
        </w:tc>
      </w:tr>
    </w:tbl>
    <w:p>
      <w:pPr>
        <w:spacing w:after="0"/>
      </w:pPr>
    </w:p>
    <w:p>
      <w:pPr>
        <w:pStyle w:val="Heading1"/>
      </w:pPr>
      <w:r>
        <w:t>3 数据接入与原始证据</w:t>
      </w:r>
    </w:p>
    <w:p>
      <w:r>
        <w:t>采集层接收行为日志和主数据。行为日志包括认证、网络、DNS、Web、进程、文件、会话和告警；HR、AD 与 CMDB 提供人员、账号、组织和资产的权威属性。主数据不参与普通行为计数，只用于实体当前视图、同伴组和关系解析。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典型数据</w:t>
            </w:r>
          </w:p>
        </w:tc>
        <w:tc>
          <w:tcPr>
            <w:tcW w:type="dxa" w:w="24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系统用途</w:t>
            </w:r>
          </w:p>
        </w:tc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关键限制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Windows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4624 4625 4634 4672 4688 账号组变更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认证、会话、进程、IAM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必须区分行为用户、操作者和目标账号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Zeek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conn dns http ssl files notice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网络、DNS、Web、TLS、文件和告警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本身通常不能证明用户身份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VPN DHCP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会话、分配 IP、租约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用户 设备 IP 时态关系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开始结束和租约有效期必须可靠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HR AD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人员、账号、部门、角色和状态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账号到人员、同伴组、特权属性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使用稳定 ID 和生效时间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CMDB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资产 ID、主机名、类型、关键性、共享标志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设备实体和风险上下文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不能只用当前 IP 代替设备身份</w:t>
            </w:r>
          </w:p>
        </w:tc>
      </w:tr>
    </w:tbl>
    <w:p>
      <w:pPr>
        <w:spacing w:after="0"/>
      </w:pPr>
    </w:p>
    <w:p>
      <w:r>
        <w:t>完整原文优先写入对象存储，也可短期写入 logs-ueba.raw-&lt;namespace&gt;。标准事件只保存 raw_event_id、raw_uri、raw_sha256 等引用，使后续任何结果可以回到不可变证据，同时避免每层复制整份日志。</w:t>
      </w:r>
    </w:p>
    <w:p>
      <w:pPr>
        <w:pStyle w:val="Heading1"/>
      </w:pPr>
      <w:r>
        <w:t>4 解析 标准化和路由原理</w:t>
      </w:r>
    </w:p>
    <w:p>
      <w:r>
        <w:t>所有生产者写入 logs-ueba.ingress-&lt;namespace&gt;。入口 Pipeline 串联分类、校验和路由。最终领域 Data Stream 不配置入口默认 Pipeline，因此 reroute 后不会再次进入解析链或形成循环。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vendor.dataset + event.code</w:t>
      </w:r>
      <w:r>
        <w:br/>
      </w:r>
      <w:r>
        <w:rPr>
          <w:rFonts w:ascii="Consolas" w:hAnsi="Consolas" w:eastAsia="Microsoft YaHei"/>
          <w:sz w:val="18"/>
        </w:rPr>
        <w:t xml:space="preserve">  否则 vendor.dataset + record_type 或 event_type</w:t>
      </w:r>
      <w:r>
        <w:br/>
      </w:r>
      <w:r>
        <w:rPr>
          <w:rFonts w:ascii="Consolas" w:hAnsi="Consolas" w:eastAsia="Microsoft YaHei"/>
          <w:sz w:val="18"/>
        </w:rPr>
        <w:t xml:space="preserve">  否则固定 vendor.dataset</w:t>
      </w:r>
      <w:r>
        <w:br/>
      </w:r>
      <w:r>
        <w:rPr>
          <w:rFonts w:ascii="Consolas" w:hAnsi="Consolas" w:eastAsia="Microsoft YaHei"/>
          <w:sz w:val="18"/>
        </w:rPr>
        <w:t xml:space="preserve">  否则 quarantine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字段层</w:t>
            </w:r>
          </w:p>
        </w:tc>
        <w:tc>
          <w:tcPr>
            <w:tcW w:type="dxa" w:w="44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代表字段</w:t>
            </w:r>
          </w:p>
        </w:tc>
        <w:tc>
          <w:tcPr>
            <w:tcW w:type="dxa" w:w="35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来源合同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vendor.name product dataset schema_version payload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标识输入格式并保存未晋升的长尾字段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ECS 事实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event user host source destination network process file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表达跨来源一致的事实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 语义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ueba.event.type semantic_tags session time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提供稳定事件类型、角色和时序语义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受控路由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ueba.route.domain rule_id version dataset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记录由哪条规则进入哪个存储域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质量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ueba.quality.status usable_for errors warnings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决定事件能支持哪些实体、特征和检测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可追溯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ueba.provenance.parser mapping raw 引用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支持回放、审计和版本对比</w:t>
            </w:r>
          </w:p>
        </w:tc>
      </w:tr>
    </w:tbl>
    <w:p>
      <w:pPr>
        <w:spacing w:after="0"/>
      </w:pPr>
    </w:p>
    <w:p>
      <w:r>
        <w:t>一个事件只选择一个主存储域。event.category、event.type 和 ueba.event.type 用于表达语义，不直接控制物理路由；跨领域用途通过 semantic_tags 和 usable_for 表达，避免同一事实被重复写入和重复计数。</w:t>
      </w:r>
    </w:p>
    <w:p>
      <w:pPr>
        <w:pStyle w:val="Heading1"/>
      </w:pPr>
      <w:r>
        <w:t>5 标准事件存储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事件域</w:t>
            </w:r>
          </w:p>
        </w:tc>
        <w:tc>
          <w:tcPr>
            <w:tcW w:type="dxa" w:w="39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索引模式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主要内容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认证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logs-ueba.authentication-*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登录、失败、票据和凭据验证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身份权限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logs-ueba.iam-* / directory-*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账号、组、权限和目录对象操作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终端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logs-ueba.endpoint-* / file-*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进程、服务、软件包和文件行为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网络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logs-ueba.network-* / dns-* / web-* / tls-*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连接、域名、HTTP 和 TLS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会话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logs-ueba.session-*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VPN、DHCP、堡垒机和地址分配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告警状态指标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logs-ueba.alert-* / state-* / metric-*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外部告警、资产观察和采集健康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隔离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logs-ueba.quarantine-*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无效、不支持或无法分类的输入</w:t>
            </w:r>
          </w:p>
        </w:tc>
      </w:tr>
    </w:tbl>
    <w:p>
      <w:pPr>
        <w:spacing w:after="0"/>
      </w:pPr>
    </w:p>
    <w:p>
      <w:r>
        <w:t>统一事件模板由公共组件与一个领域组件组合。公共组件负责时间、租户、事件元数据、质量、证据和路由；领域组件只增加该领域需要的字段。Mapping 默认严格，未声明字段不能静默扩张索引。</w:t>
      </w:r>
    </w:p>
    <w:p>
      <w:pPr>
        <w:pStyle w:val="Heading1"/>
      </w:pPr>
      <w:r>
        <w:t>6 数据质量和能力门禁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3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6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下游处理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qualified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主语义明确并满足事件合同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允许 ready 能力消费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partial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存在非致命缺失、推断或冲突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只允许明确支持的能力消费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invalid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时间、类型、格式或证据不可信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禁止进入特征、基线和风险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unsupported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来源可识别但尚无发布映射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保留证据并进入映射待办</w:t>
            </w:r>
          </w:p>
        </w:tc>
      </w:tr>
    </w:tbl>
    <w:p>
      <w:pPr>
        <w:spacing w:after="0"/>
      </w:pPr>
    </w:p>
    <w:p>
      <w:r>
        <w:t>质量状态描述数据，不等于风险分数。检测任务必须同时检查窗口事件数、必需字段覆盖、事件时间质量、实体关系版本和 use case capability。条件不足时输出“数据不可用”或“降级”，不能输出“未发现异常”。</w:t>
      </w:r>
    </w:p>
    <w:p>
      <w:pPr>
        <w:pStyle w:val="Heading1"/>
      </w:pPr>
      <w:r>
        <w:t>7 实体解析与时态关系</w:t>
      </w:r>
    </w:p>
    <w:p>
      <w:r>
        <w:t>统一事件中的 user、host 和 IP 只是事件事实。实体解析服务把这些标识与 HR、AD、CMDB、VPN 和 DHCP 数据关联，生成稳定的 person、account、device、ip、application 实体，以及带有效期和置信度的关系。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account SID → account → person</w:t>
      </w:r>
      <w:r>
        <w:br/>
      </w:r>
      <w:r>
        <w:rPr>
          <w:rFonts w:ascii="Consolas" w:hAnsi="Consolas" w:eastAsia="Microsoft YaHei"/>
          <w:sz w:val="18"/>
        </w:rPr>
        <w:t>hostname 或 asset ID → device</w:t>
      </w:r>
      <w:r>
        <w:br/>
      </w:r>
      <w:r>
        <w:rPr>
          <w:rFonts w:ascii="Consolas" w:hAnsi="Consolas" w:eastAsia="Microsoft YaHei"/>
          <w:sz w:val="18"/>
        </w:rPr>
        <w:t>DHCP leased IP ↔ device [valid_from valid_to)</w:t>
      </w:r>
      <w:r>
        <w:br/>
      </w:r>
      <w:r>
        <w:rPr>
          <w:rFonts w:ascii="Consolas" w:hAnsi="Consolas" w:eastAsia="Microsoft YaHei"/>
          <w:sz w:val="18"/>
        </w:rPr>
        <w:t>VPN user ↔ assigned IP [session start session end)</w:t>
      </w:r>
      <w:r>
        <w:br/>
      </w:r>
      <w:r>
        <w:rPr>
          <w:rFonts w:ascii="Consolas" w:hAnsi="Consolas" w:eastAsia="Microsoft YaHei"/>
          <w:sz w:val="18"/>
        </w:rPr>
        <w:t>Windows logon → account logged_on device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关系字段</w:t>
            </w:r>
          </w:p>
        </w:tc>
        <w:tc>
          <w:tcPr>
            <w:tcW w:type="dxa" w:w="59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意义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relation.source / target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关系两端的稳定 entity.id 和 entity.type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relation.valid_from / valid_to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关系在什么时间范围有效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relation.confidence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归属证据的可信程度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relation.evidence_event_ids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产生关系的 Windows、VPN、DHCP 或主数据证据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relation.resolution_version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实体解析规则版本，用于重算与审计</w:t>
            </w:r>
          </w:p>
        </w:tc>
      </w:tr>
    </w:tbl>
    <w:p>
      <w:pPr>
        <w:spacing w:after="0"/>
      </w:pPr>
    </w:p>
    <w:p>
      <w:r>
        <w:t>网络事件只有 IP 时，系统首先生成 IP 或设备级行为。只有事件发生时刻存在足够置信度的用户 设备 IP 关系，才允许把异常归属到人员。共享设备、NAT、跳板机和地址复用不能被强制映射到单一用户。</w:t>
      </w:r>
    </w:p>
    <w:p>
      <w:pPr>
        <w:pStyle w:val="Heading1"/>
      </w:pPr>
      <w:r>
        <w:t>8 特征计算与行为基线</w:t>
      </w:r>
    </w:p>
    <w:p>
      <w:r>
        <w:t>特征计算把事件流转换为实体在固定时间窗口内的数值、集合或类别统计。每条特征保存 feature.id、版本、实体、窗口、样本量、输入事件引用、Mapping 版本、关系解析版本和质量。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特征类型</w:t>
            </w:r>
          </w:p>
        </w:tc>
        <w:tc>
          <w:tcPr>
            <w:tcW w:type="dxa" w:w="374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0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工作原理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计数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每小时成功登录数、失败数、进程启动数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按实体与窗口聚合事件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去重数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来源 IP、设备、目的地、域名数量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计算 cardinality 或确定性集合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首次出现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新设备、新目的地、新进程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与历史观察集合比较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时段分布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登录小时、工作日和周末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建立周期性行为直方图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数值流量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外发字节、上传正文长度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按明确方向和协议层次求和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关系特征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同一 IP 涉及多个设备、关系置信度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结合事件时态关系计算</w:t>
            </w:r>
          </w:p>
        </w:tc>
      </w:tr>
    </w:tbl>
    <w:p>
      <w:pPr>
        <w:spacing w:after="0"/>
      </w:pPr>
    </w:p>
    <w:p>
      <w:r>
        <w:t>基线由历史特征训练，可针对单个实体或同伴组保存均值、标准差、分位数、样本量、训练区间和模型版本。训练窗口必须与当前评分窗口隔离，避免把待检测行为提前学习为正常。冷启动、样本不足和节假日等情况通过训练质量和场景策略处理。</w:t>
      </w:r>
    </w:p>
    <w:p>
      <w:pPr>
        <w:pStyle w:val="Heading1"/>
      </w:pPr>
      <w:r>
        <w:t>9 异常检测和解释</w:t>
      </w:r>
    </w:p>
    <w:p>
      <w:r>
        <w:t>检测器读取当前特征、已发布基线和场景合同，判断当前值是否显著偏离个人或同伴组历史。规则型检测也可以直接消费统一事件，例如敏感组成员变化。异常对象不仅保存分数，还保存当前值、期望值、偏离、原因码、规则模型版本及证据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4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381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异常依据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异常登录时间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认证事件和时段特征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登录时段偏离个人或同伴基线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登录失败量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失败认证窗口计数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失败量、来源数或失败后成功异常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非常用设备登录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认证、设备实体和关系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设备首次出现或历史频率过低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新外部目的地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网络连接和设备/IP 关系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外部目的地首次出现或稀有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异常外发量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方向可靠的字节特征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当前外发量显著超过历史范围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疑似分片上传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Web、Network、File 事件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分片数量、字节、并发和新目的地异常；缺会话 ID 时低置信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新进程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终端进程事件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进程或父子组合首次出现或稀有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敏感组变化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IAM 或目录变更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敏感组、操作者、目标与审批上下文</w:t>
            </w:r>
          </w:p>
        </w:tc>
      </w:tr>
    </w:tbl>
    <w:p>
      <w:pPr>
        <w:spacing w:after="0"/>
      </w:pPr>
    </w:p>
    <w:p>
      <w:pPr>
        <w:pStyle w:val="Heading1"/>
      </w:pPr>
      <w:r>
        <w:t>10 风险聚合与案件</w:t>
      </w:r>
    </w:p>
    <w:p>
      <w:r>
        <w:t>异常不直接等同于威胁。风险引擎根据异常严重度、实体关键性、证据质量、时间衰减和多场景关联生成不可变 risk event，并更新 entity risk current。风险流水保留 score_delta、变化前后分数、原因码、策略版本和证据，当前风险索引提供快速查询视图。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罕见设备登录</w:t>
      </w:r>
      <w:r>
        <w:br/>
      </w:r>
      <w:r>
        <w:rPr>
          <w:rFonts w:ascii="Consolas" w:hAnsi="Consolas" w:eastAsia="Microsoft YaHei"/>
          <w:sz w:val="18"/>
        </w:rPr>
        <w:t xml:space="preserve">  + 大量读取敏感文件</w:t>
      </w:r>
      <w:r>
        <w:br/>
      </w:r>
      <w:r>
        <w:rPr>
          <w:rFonts w:ascii="Consolas" w:hAnsi="Consolas" w:eastAsia="Microsoft YaHei"/>
          <w:sz w:val="18"/>
        </w:rPr>
        <w:t xml:space="preserve">  + 向新外部目的地异常上传</w:t>
      </w:r>
      <w:r>
        <w:br/>
      </w:r>
      <w:r>
        <w:rPr>
          <w:rFonts w:ascii="Consolas" w:hAnsi="Consolas" w:eastAsia="Microsoft YaHei"/>
          <w:sz w:val="18"/>
        </w:rPr>
        <w:t xml:space="preserve">  → 多场景风险提升</w:t>
      </w:r>
      <w:r>
        <w:br/>
      </w:r>
      <w:r>
        <w:rPr>
          <w:rFonts w:ascii="Consolas" w:hAnsi="Consolas" w:eastAsia="Microsoft YaHei"/>
          <w:sz w:val="18"/>
        </w:rPr>
        <w:t xml:space="preserve">  → 创建或关联调查案件</w:t>
      </w:r>
      <w:r>
        <w:br/>
      </w:r>
      <w:r>
        <w:rPr>
          <w:rFonts w:ascii="Consolas" w:hAnsi="Consolas" w:eastAsia="Microsoft YaHei"/>
          <w:sz w:val="18"/>
        </w:rPr>
        <w:t xml:space="preserve">  → 分析员回查异常 特征 事件 原文</w:t>
      </w:r>
    </w:p>
    <w:p>
      <w:r>
        <w:t>案件保存状态、严重度、负责人、相关实体、异常、风险事件、原始事件以及分析反馈。确认、误报、抑制和原因标签进入反馈闭环，用于调整映射、实体解析、特征、基线、规则和风险策略。</w:t>
      </w:r>
    </w:p>
    <w:p>
      <w:pPr>
        <w:pStyle w:val="Heading1"/>
      </w:pPr>
      <w:r>
        <w:t>11 数据对象之间的关联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上游对象</w:t>
            </w:r>
          </w:p>
        </w:tc>
        <w:tc>
          <w:tcPr>
            <w:tcW w:type="dxa" w:w="381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关联键</w:t>
            </w:r>
          </w:p>
        </w:tc>
        <w:tc>
          <w:tcPr>
            <w:tcW w:type="dxa" w:w="36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下游对象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原始证据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raw_event_id raw_uri raw_sha256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统一事件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统一事件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event.id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关系、特征、异常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entity.id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关系、特征、异常、风险和案件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关系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relation.id resolution_version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特征与异常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feature.id version window.id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基线和异常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baseline.id model.version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异常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anomaly.id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风险流水和案件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风险流水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risk.id calculation.version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当前风险和案件</w:t>
            </w:r>
          </w:p>
        </w:tc>
      </w:tr>
    </w:tbl>
    <w:p>
      <w:pPr>
        <w:spacing w:after="0"/>
      </w:pPr>
    </w:p>
    <w:p>
      <w:r>
        <w:t>派生对象只保存必要的输入引用和计算结果，不复制全部事件。Mapping 或关系修正后，系统根据版本和输入引用定位受影响窗口，写入新版本结果或影子索引，比较完成后再切换读取。</w:t>
      </w:r>
    </w:p>
    <w:p>
      <w:pPr>
        <w:pStyle w:val="Heading1"/>
      </w:pPr>
      <w:r>
        <w:t>12 失败处理和重放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6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失败类型</w:t>
            </w:r>
          </w:p>
        </w:tc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落点</w:t>
            </w:r>
          </w:p>
        </w:tc>
        <w:tc>
          <w:tcPr>
            <w:tcW w:type="dxa" w:w="41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恢复方式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业务语义 invalid 或 unsupported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quarantine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补充映射或修复数据后重新写入 ingress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Mapping 类型等索引失败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Elasticsearch Failure Store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修复模板或 Pipeline 后重放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partial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正常领域 Data Stream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限制 capability 并持续监控缺失率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关系冲突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关系质量告警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人工或规则修正，定向重算相关窗口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模型或规则升级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新版本或影子输出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历史回放、结果比较、Alias 切换</w:t>
            </w:r>
          </w:p>
        </w:tc>
      </w:tr>
    </w:tbl>
    <w:p>
      <w:pPr>
        <w:spacing w:after="0"/>
      </w:pPr>
    </w:p>
    <w:p>
      <w:r>
        <w:t>重放必须保持 event.id 和派生对象幂等键稳定。同一输入重复执行不能增加独立动作数，也不能重复生成关系、特征、异常或风险。</w:t>
      </w:r>
    </w:p>
    <w:p>
      <w:pPr>
        <w:pStyle w:val="Heading1"/>
      </w:pPr>
      <w:r>
        <w:t>13 运行监控</w:t>
      </w:r>
    </w:p>
    <w:p>
      <w:pPr>
        <w:pStyle w:val="ListBullet"/>
        <w:spacing w:after="60"/>
      </w:pPr>
      <w:r>
        <w:t>按租户、来源、dataset、来源版本、Parser 和 Mapping 版本统计接收、归档、解析和路由数量。</w:t>
      </w:r>
    </w:p>
    <w:p>
      <w:pPr>
        <w:pStyle w:val="ListBullet"/>
        <w:spacing w:after="60"/>
      </w:pPr>
      <w:r>
        <w:t>监控核心字段覆盖率、时间回退率、重复率、处理延迟和 Failure Store 增量。</w:t>
      </w:r>
    </w:p>
    <w:p>
      <w:pPr>
        <w:pStyle w:val="ListBullet"/>
        <w:spacing w:after="60"/>
      </w:pPr>
      <w:r>
        <w:t>监控用户 设备 IP 关系覆盖率、关系冲突和人工抽样准确率。</w:t>
      </w:r>
    </w:p>
    <w:p>
      <w:pPr>
        <w:pStyle w:val="ListBullet"/>
        <w:spacing w:after="60"/>
      </w:pPr>
      <w:r>
        <w:t>按场景展示 ready、degraded、unavailable 和 unknown，状态下降时停止或降级相关评分。</w:t>
      </w:r>
    </w:p>
    <w:p>
      <w:pPr>
        <w:pStyle w:val="ListBullet"/>
        <w:spacing w:after="60"/>
      </w:pPr>
      <w:r>
        <w:t>检测任务输入为零不算健康，必须区分确实没有行为与数据链路不可用。</w:t>
      </w:r>
    </w:p>
    <w:p>
      <w:pPr>
        <w:pStyle w:val="Heading1"/>
      </w:pPr>
      <w:r>
        <w:t>14 发布和版本管理</w:t>
      </w:r>
    </w:p>
    <w:p>
      <w:r>
        <w:t>Parser、Mapping、Route Registry、统一 Schema、质量规则和测试集作为同一个发布包。制品使用不可变版本名；新增兼容字段通常升级 Minor 版本，字段类型、语义、数组形态或必填规则变化属于 Breaking 变化。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编译路由配置</w:t>
      </w:r>
      <w:r>
        <w:br/>
      </w:r>
      <w:r>
        <w:rPr>
          <w:rFonts w:ascii="Consolas" w:hAnsi="Consolas" w:eastAsia="Microsoft YaHei"/>
          <w:sz w:val="18"/>
        </w:rPr>
        <w:t xml:space="preserve">  → JSON 与模板静态校验</w:t>
      </w:r>
      <w:r>
        <w:br/>
      </w:r>
      <w:r>
        <w:rPr>
          <w:rFonts w:ascii="Consolas" w:hAnsi="Consolas" w:eastAsia="Microsoft YaHei"/>
          <w:sz w:val="18"/>
        </w:rPr>
        <w:t xml:space="preserve">  → Pipeline simulate</w:t>
      </w:r>
      <w:r>
        <w:br/>
      </w:r>
      <w:r>
        <w:rPr>
          <w:rFonts w:ascii="Consolas" w:hAnsi="Consolas" w:eastAsia="Microsoft YaHei"/>
          <w:sz w:val="18"/>
        </w:rPr>
        <w:t xml:space="preserve">  → 正常 异常 缺字段样例回放</w:t>
      </w:r>
      <w:r>
        <w:br/>
      </w:r>
      <w:r>
        <w:rPr>
          <w:rFonts w:ascii="Consolas" w:hAnsi="Consolas" w:eastAsia="Microsoft YaHei"/>
          <w:sz w:val="18"/>
        </w:rPr>
        <w:t xml:space="preserve">  → 影子运行与下游回归</w:t>
      </w:r>
      <w:r>
        <w:br/>
      </w:r>
      <w:r>
        <w:rPr>
          <w:rFonts w:ascii="Consolas" w:hAnsi="Consolas" w:eastAsia="Microsoft YaHei"/>
          <w:sz w:val="18"/>
        </w:rPr>
        <w:t xml:space="preserve">  → 切换写入或读取 Alias</w:t>
      </w:r>
      <w:r>
        <w:br/>
      </w:r>
      <w:r>
        <w:rPr>
          <w:rFonts w:ascii="Consolas" w:hAnsi="Consolas" w:eastAsia="Microsoft YaHei"/>
          <w:sz w:val="18"/>
        </w:rPr>
        <w:t xml:space="preserve">  → 观察指标</w:t>
      </w:r>
      <w:r>
        <w:br/>
      </w:r>
      <w:r>
        <w:rPr>
          <w:rFonts w:ascii="Consolas" w:hAnsi="Consolas" w:eastAsia="Microsoft YaHei"/>
          <w:sz w:val="18"/>
        </w:rPr>
        <w:t xml:space="preserve">  → 停用旧版本</w:t>
      </w:r>
    </w:p>
    <w:p>
      <w:pPr>
        <w:pStyle w:val="Heading1"/>
      </w:pPr>
      <w:r>
        <w:t>15 端到端示例</w:t>
      </w:r>
    </w:p>
    <w:p>
      <w:r>
        <w:t>某用户凌晨通过新的公网 IP 登录 VPN，获得一个内网地址，随后访问从未连接的外部目的地并产生异常外发流量。系统的处理过程如下。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处理结果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采集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VPN、Windows、DHCP 和 Zeek 事件分别归档并获得稳定 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标准化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登录进入 authentication，VPN/DHCP 进入 session，连接进入 network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根据会话和租约在事件时刻关联 account person device IP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特征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计算非工作时段登录、新来源、新目的地和外发字节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基线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与用户或设备历史时段、来源、目的地和流量分布比较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异常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分别生成异常登录时间、新来源、新目的地和异常外发量证据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同一实体短时间出现多项相关异常，风险分提高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调查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分析员从案件下钻到风险、异常、特征、关系、标准事件和原始日志</w:t>
            </w:r>
          </w:p>
        </w:tc>
      </w:tr>
    </w:tbl>
    <w:p>
      <w:pPr>
        <w:spacing w:after="0"/>
      </w:pPr>
    </w:p>
    <w:p>
      <w:pPr>
        <w:pStyle w:val="Heading1"/>
      </w:pPr>
      <w:r>
        <w:t>16 系统工作原理总结</w:t>
      </w:r>
    </w:p>
    <w:p>
      <w:pPr>
        <w:pStyle w:val="ListBullet"/>
        <w:spacing w:after="60"/>
      </w:pPr>
      <w:r>
        <w:t>语义统一：用 ECS 事实字段和 ueba.event.type 消除厂商字段差异。</w:t>
      </w:r>
    </w:p>
    <w:p>
      <w:pPr>
        <w:pStyle w:val="ListBullet"/>
        <w:spacing w:after="60"/>
      </w:pPr>
      <w:r>
        <w:t>时态归属：用有效期关系回答行为发生时账号、人员、设备和 IP 的真实对应。</w:t>
      </w:r>
    </w:p>
    <w:p>
      <w:pPr>
        <w:pStyle w:val="ListBullet"/>
        <w:spacing w:after="60"/>
      </w:pPr>
      <w:r>
        <w:t>行为建模：把事件聚合为窗口特征，再与个人或同伴历史基线比较。</w:t>
      </w:r>
    </w:p>
    <w:p>
      <w:pPr>
        <w:pStyle w:val="ListBullet"/>
        <w:spacing w:after="60"/>
      </w:pPr>
      <w:r>
        <w:t>证据驱动：异常和风险保存输入引用、计算值、版本与解释，而不是只给一个分数。</w:t>
      </w:r>
    </w:p>
    <w:p>
      <w:pPr>
        <w:pStyle w:val="ListBullet"/>
        <w:spacing w:after="60"/>
      </w:pPr>
      <w:r>
        <w:t>质量门禁：数据不足时降级或停止检测，防止静默失败和错误归属。</w:t>
      </w:r>
    </w:p>
    <w:p>
      <w:pPr>
        <w:pStyle w:val="ListBullet"/>
        <w:spacing w:after="60"/>
      </w:pPr>
      <w:r>
        <w:t>版本可重算：所有处理阶段记录版本，支持历史回放、影子比较和定向重算。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UEBA 系统工作流与工作原理说明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