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电动机数学模型建立：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直流他励电机的等效电路可以 </w:t>
      </w:r>
    </w:p>
    <w:p>
      <w:pPr>
        <w:jc w:val="center"/>
      </w:pPr>
      <w:r>
        <w:drawing>
          <wp:inline distT="0" distB="0" distL="114300" distR="114300">
            <wp:extent cx="2811780" cy="2301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</w:p>
    <w:p>
      <w:pPr>
        <w:jc w:val="both"/>
      </w:pPr>
      <w:r>
        <w:drawing>
          <wp:inline distT="0" distB="0" distL="114300" distR="114300">
            <wp:extent cx="2467610" cy="199898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由上图可以写出如下的基本关系式：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15135" cy="225234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6960" cy="1028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</w:p>
    <w:p>
      <w:r>
        <w:drawing>
          <wp:inline distT="0" distB="0" distL="114300" distR="114300">
            <wp:extent cx="5257800" cy="632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将上述式中，S=d/dt看做算子，可由上述式子做拉普拉斯变换，得到直流电动机结构：</w:t>
      </w:r>
    </w:p>
    <w:p>
      <w:r>
        <w:drawing>
          <wp:inline distT="0" distB="0" distL="114300" distR="114300">
            <wp:extent cx="2989580" cy="1198880"/>
            <wp:effectExtent l="0" t="0" r="1270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8340" cy="930910"/>
            <wp:effectExtent l="0" t="0" r="762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当电动机磁场恒定时，动态结构图可以简化成下图形式：</w:t>
      </w:r>
    </w:p>
    <w:p>
      <w:r>
        <w:drawing>
          <wp:inline distT="0" distB="0" distL="114300" distR="114300">
            <wp:extent cx="4518660" cy="58140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29946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实验中所用电动机为永磁直流电动机，永磁电动机是通过磁性耦合将电能转化为机械能的装置，包括定子和转子。电机通电后，电枢导线在磁力线的作用下，在转子上产生电磁转矩。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与上述分析的直流他励电机相比，永磁直流电机只是用永久磁铁代替了恒定的他励电机，达到励磁绕组，因此，永磁电机与他励电机具有极为相似的等效电路：</w:t>
      </w:r>
    </w:p>
    <w:p>
      <w:r>
        <w:drawing>
          <wp:inline distT="0" distB="0" distL="114300" distR="114300">
            <wp:extent cx="1832610" cy="1952625"/>
            <wp:effectExtent l="0" t="0" r="1143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在不计粘性摩擦负载时，永磁电机的传递函数与之前所分析的传递函数相同：</w:t>
      </w:r>
    </w:p>
    <w:p>
      <w:r>
        <w:drawing>
          <wp:inline distT="0" distB="0" distL="114300" distR="114300">
            <wp:extent cx="2384425" cy="535305"/>
            <wp:effectExtent l="0" t="0" r="825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当省略电枢电感影响时，则永磁电机传递函数亦与之前分析相同：</w:t>
      </w:r>
    </w:p>
    <w:p>
      <w:r>
        <w:drawing>
          <wp:inline distT="0" distB="0" distL="114300" distR="114300">
            <wp:extent cx="2026920" cy="655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黑体" w:hAnsi="黑体" w:eastAsia="黑体" w:cs="宋体"/>
          <w:sz w:val="24"/>
          <w:szCs w:val="24"/>
        </w:rPr>
      </w:pPr>
      <w:r>
        <w:rPr>
          <w:rFonts w:hint="eastAsia" w:ascii="黑体" w:hAnsi="黑体" w:eastAsia="黑体" w:cs="宋体"/>
          <w:sz w:val="24"/>
          <w:szCs w:val="24"/>
        </w:rPr>
        <w:t>直流发电机的建模</w:t>
      </w:r>
    </w:p>
    <w:p>
      <w:pPr>
        <w:rPr>
          <w:rFonts w:ascii="Times New Roman" w:hAnsi="Times New Roman" w:cs="宋体"/>
          <w:sz w:val="24"/>
          <w:szCs w:val="28"/>
        </w:rPr>
      </w:pPr>
      <w:r>
        <w:rPr>
          <w:rFonts w:ascii="Times New Roman" w:hAnsi="Times New Roman" w:cs="宋体"/>
          <w:sz w:val="24"/>
          <w:szCs w:val="28"/>
        </w:rPr>
        <w:t>直流发电机是测速元件</w:t>
      </w:r>
      <w:r>
        <w:rPr>
          <w:rFonts w:hint="eastAsia" w:ascii="Times New Roman" w:hAnsi="Times New Roman" w:cs="宋体"/>
          <w:sz w:val="24"/>
          <w:szCs w:val="28"/>
        </w:rPr>
        <w:t>，</w:t>
      </w:r>
      <w:r>
        <w:rPr>
          <w:rFonts w:ascii="Times New Roman" w:hAnsi="Times New Roman" w:cs="宋体"/>
          <w:sz w:val="24"/>
          <w:szCs w:val="28"/>
        </w:rPr>
        <w:t>用于对速度进行反馈</w:t>
      </w:r>
      <w:r>
        <w:rPr>
          <w:rFonts w:hint="eastAsia" w:ascii="Times New Roman" w:hAnsi="Times New Roman" w:cs="宋体"/>
          <w:sz w:val="24"/>
          <w:szCs w:val="28"/>
        </w:rPr>
        <w:t>。满足以下关系：</w:t>
      </w:r>
    </w:p>
    <w:p>
      <w:pPr>
        <w:rPr>
          <w:rFonts w:ascii="Times New Roman" w:hAnsi="Times New Roman" w:cs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  <w:szCs w:val="28"/>
                </w:rPr>
              </m:ctrlPr>
            </m:sSubPr>
            <m:e>
              <m:r>
                <w:rPr>
                  <w:rFonts w:hint="eastAsia" w:ascii="Cambria Math" w:hAnsi="Cambria Math" w:cs="宋体"/>
                  <w:sz w:val="24"/>
                  <w:szCs w:val="28"/>
                </w:rPr>
                <m:t>U</m:t>
              </m:r>
              <m:ctrlPr>
                <w:rPr>
                  <w:rFonts w:ascii="Cambria Math" w:hAnsi="Cambria Math" w:cs="宋体"/>
                  <w:i/>
                  <w:sz w:val="24"/>
                  <w:szCs w:val="28"/>
                </w:rPr>
              </m:ctrlPr>
            </m:e>
            <m:sub>
              <m:r>
                <w:rPr>
                  <w:rFonts w:hint="eastAsia" w:ascii="Cambria Math" w:hAnsi="Cambria Math" w:cs="宋体"/>
                  <w:sz w:val="24"/>
                  <w:szCs w:val="28"/>
                </w:rPr>
                <m:t>t</m:t>
              </m:r>
              <m:ctrlPr>
                <w:rPr>
                  <w:rFonts w:ascii="Cambria Math" w:hAnsi="Cambria Math" w:cs="宋体"/>
                  <w:i/>
                  <w:sz w:val="24"/>
                  <w:szCs w:val="28"/>
                </w:rPr>
              </m:ctrlPr>
            </m:sub>
          </m:sSub>
          <m:r>
            <w:rPr>
              <w:rFonts w:hint="eastAsia" w:ascii="Cambria Math" w:hAnsi="Cambria Math" w:cs="宋体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sz w:val="24"/>
                  <w:szCs w:val="28"/>
                </w:rPr>
              </m:ctrlPr>
            </m:sSubPr>
            <m:e>
              <m:r>
                <w:rPr>
                  <w:rFonts w:hint="eastAsia" w:ascii="Cambria Math" w:hAnsi="Cambria Math" w:cs="宋体"/>
                  <w:sz w:val="24"/>
                  <w:szCs w:val="28"/>
                </w:rPr>
                <m:t>k</m:t>
              </m:r>
              <m:ctrlPr>
                <w:rPr>
                  <w:rFonts w:ascii="Cambria Math" w:hAnsi="Cambria Math" w:cs="宋体"/>
                  <w:i/>
                  <w:sz w:val="24"/>
                  <w:szCs w:val="28"/>
                </w:rPr>
              </m:ctrlPr>
            </m:e>
            <m:sub>
              <m:r>
                <w:rPr>
                  <w:rFonts w:hint="eastAsia" w:ascii="Cambria Math" w:hAnsi="Cambria Math" w:cs="宋体"/>
                  <w:sz w:val="24"/>
                  <w:szCs w:val="28"/>
                </w:rPr>
                <m:t>v</m:t>
              </m:r>
              <m:ctrlPr>
                <w:rPr>
                  <w:rFonts w:ascii="Cambria Math" w:hAnsi="Cambria Math" w:cs="宋体"/>
                  <w:i/>
                  <w:sz w:val="24"/>
                  <w:szCs w:val="28"/>
                </w:rPr>
              </m:ctrlPr>
            </m:sub>
          </m:sSub>
          <m:r>
            <w:rPr>
              <w:rFonts w:ascii="Cambria Math" w:hAnsi="Cambria Math" w:cs="宋体"/>
              <w:sz w:val="24"/>
              <w:szCs w:val="28"/>
            </w:rPr>
            <m:t>ω</m:t>
          </m:r>
        </m:oMath>
      </m:oMathPara>
    </w:p>
    <w:p>
      <w:pPr>
        <w:rPr>
          <w:rFonts w:hint="eastAsia" w:ascii="Times New Roman" w:hAnsi="Times New Roman" w:cs="宋体"/>
          <w:sz w:val="24"/>
          <w:szCs w:val="28"/>
        </w:rPr>
      </w:pPr>
      <w:r>
        <w:rPr>
          <w:rFonts w:hint="eastAsia" w:ascii="Times New Roman" w:hAnsi="Times New Roman" w:cs="宋体"/>
          <w:sz w:val="24"/>
          <w:szCs w:val="28"/>
        </w:rPr>
        <w:t>式中，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8"/>
              </w:rPr>
            </m:ctrlPr>
          </m:sSubPr>
          <m:e>
            <m:r>
              <w:rPr>
                <w:rFonts w:hint="eastAsia" w:ascii="Cambria Math" w:hAnsi="Cambria Math" w:cs="宋体"/>
                <w:sz w:val="24"/>
                <w:szCs w:val="28"/>
              </w:rPr>
              <m:t>U</m:t>
            </m:r>
            <m:ctrlPr>
              <w:rPr>
                <w:rFonts w:ascii="Cambria Math" w:hAnsi="Cambria Math" w:cs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cs="宋体"/>
                <w:sz w:val="24"/>
                <w:szCs w:val="28"/>
              </w:rPr>
              <m:t>t</m:t>
            </m:r>
            <m:ctrlPr>
              <w:rPr>
                <w:rFonts w:ascii="Cambria Math" w:hAnsi="Cambria Math" w:cs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Times New Roman" w:hAnsi="Times New Roman" w:cs="宋体"/>
          <w:sz w:val="24"/>
          <w:szCs w:val="28"/>
        </w:rPr>
        <w:t>为测速机输出电压，</w:t>
      </w:r>
      <m:oMath>
        <m:r>
          <w:rPr>
            <w:rFonts w:ascii="Cambria Math" w:hAnsi="Cambria Math" w:cs="宋体"/>
            <w:sz w:val="24"/>
            <w:szCs w:val="28"/>
          </w:rPr>
          <m:t>ω</m:t>
        </m:r>
      </m:oMath>
      <w:r>
        <w:rPr>
          <w:rFonts w:hint="eastAsia" w:ascii="Times New Roman" w:hAnsi="Times New Roman" w:cs="宋体"/>
          <w:sz w:val="24"/>
          <w:szCs w:val="28"/>
        </w:rPr>
        <w:t>为转速，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8"/>
              </w:rPr>
            </m:ctrlPr>
          </m:sSubPr>
          <m:e>
            <m:r>
              <w:rPr>
                <w:rFonts w:hint="eastAsia" w:ascii="Cambria Math" w:hAnsi="Cambria Math" w:cs="宋体"/>
                <w:sz w:val="24"/>
                <w:szCs w:val="28"/>
              </w:rPr>
              <m:t>k</m:t>
            </m:r>
            <m:ctrlPr>
              <w:rPr>
                <w:rFonts w:ascii="Cambria Math" w:hAnsi="Cambria Math" w:cs="宋体"/>
                <w:i/>
                <w:sz w:val="24"/>
                <w:szCs w:val="28"/>
              </w:rPr>
            </m:ctrlPr>
          </m:e>
          <m:sub>
            <m:r>
              <w:rPr>
                <w:rFonts w:hint="eastAsia" w:ascii="Cambria Math" w:hAnsi="Cambria Math" w:cs="宋体"/>
                <w:sz w:val="24"/>
                <w:szCs w:val="28"/>
              </w:rPr>
              <m:t>v</m:t>
            </m:r>
            <m:ctrlPr>
              <w:rPr>
                <w:rFonts w:ascii="Cambria Math" w:hAnsi="Cambria Math" w:cs="宋体"/>
                <w:i/>
                <w:sz w:val="24"/>
                <w:szCs w:val="28"/>
              </w:rPr>
            </m:ctrlPr>
          </m:sub>
        </m:sSub>
      </m:oMath>
      <w:r>
        <w:rPr>
          <w:rFonts w:hint="eastAsia" w:ascii="Times New Roman" w:hAnsi="Times New Roman" w:cs="宋体"/>
          <w:sz w:val="24"/>
          <w:szCs w:val="28"/>
        </w:rPr>
        <w:t>为测速反馈系数。</w:t>
      </w:r>
    </w:p>
    <w:p>
      <w:pPr>
        <w:rPr>
          <w:rFonts w:hint="eastAsia" w:ascii="Times New Roman" w:hAnsi="Times New Roman" w:cs="宋体"/>
          <w:sz w:val="24"/>
          <w:szCs w:val="28"/>
        </w:rPr>
      </w:pPr>
    </w:p>
    <w:p>
      <w:pPr>
        <w:rPr>
          <w:rFonts w:hint="eastAsia" w:ascii="黑体" w:hAnsi="黑体" w:eastAsia="黑体" w:cs="宋体"/>
          <w:sz w:val="24"/>
          <w:szCs w:val="24"/>
        </w:rPr>
      </w:pPr>
      <w:r>
        <w:rPr>
          <w:rFonts w:hint="eastAsia" w:ascii="黑体" w:hAnsi="黑体" w:eastAsia="黑体" w:cs="宋体"/>
          <w:sz w:val="24"/>
          <w:szCs w:val="24"/>
        </w:rPr>
        <w:t>角位置测量电位计的建模</w:t>
      </w:r>
    </w:p>
    <w:p>
      <w:pPr>
        <w:rPr>
          <w:rFonts w:hint="eastAsia" w:ascii="Times New Roman" w:hAnsi="Times New Roman" w:cs="宋体"/>
          <w:sz w:val="24"/>
          <w:szCs w:val="28"/>
          <w:lang w:eastAsia="zh-CN"/>
        </w:rPr>
      </w:pPr>
      <w:r>
        <w:rPr>
          <w:rFonts w:hint="eastAsia" w:ascii="Times New Roman" w:hAnsi="Times New Roman" w:cs="宋体"/>
          <w:sz w:val="24"/>
          <w:szCs w:val="28"/>
        </w:rPr>
        <w:t>作为位置反馈的元件。其模型同电路连接有关</w:t>
      </w:r>
      <w:r>
        <w:rPr>
          <w:rFonts w:hint="eastAsia" w:ascii="Times New Roman" w:hAnsi="Times New Roman" w:cs="宋体"/>
          <w:sz w:val="24"/>
          <w:szCs w:val="28"/>
          <w:lang w:eastAsia="zh-CN"/>
        </w:rPr>
        <w:t>。</w:t>
      </w:r>
    </w:p>
    <w:p>
      <w:pPr>
        <w:rPr>
          <w:rFonts w:hint="eastAsia" w:ascii="Times New Roman" w:hAnsi="Times New Roman" w:cs="宋体"/>
          <w:sz w:val="24"/>
          <w:szCs w:val="28"/>
          <w:lang w:eastAsia="zh-CN"/>
        </w:rPr>
      </w:pPr>
    </w:p>
    <w:p>
      <w:pPr>
        <w:rPr>
          <w:rFonts w:ascii="黑体" w:hAnsi="黑体" w:eastAsia="黑体" w:cs="宋体"/>
          <w:sz w:val="24"/>
          <w:szCs w:val="24"/>
        </w:rPr>
      </w:pPr>
      <w:r>
        <w:rPr>
          <w:rFonts w:hint="eastAsia" w:ascii="黑体" w:hAnsi="黑体" w:eastAsia="黑体" w:cs="宋体"/>
          <w:sz w:val="24"/>
          <w:szCs w:val="24"/>
        </w:rPr>
        <w:t>建立随动系统的模型</w:t>
      </w:r>
    </w:p>
    <w:p>
      <w:pPr>
        <w:rPr>
          <w:rFonts w:ascii="Times New Roman" w:hAnsi="Times New Roman" w:cs="宋体"/>
          <w:sz w:val="24"/>
          <w:szCs w:val="28"/>
        </w:rPr>
      </w:pPr>
      <w:r>
        <w:rPr>
          <w:rFonts w:hint="eastAsia" w:ascii="Times New Roman" w:hAnsi="Times New Roman" w:cs="宋体"/>
          <w:sz w:val="24"/>
          <w:szCs w:val="28"/>
        </w:rPr>
        <w:t>系统组成如</w:t>
      </w:r>
      <w:r>
        <w:rPr>
          <w:rFonts w:hint="eastAsia" w:ascii="Times New Roman" w:hAnsi="Times New Roman" w:cs="宋体"/>
          <w:sz w:val="24"/>
          <w:szCs w:val="28"/>
          <w:lang w:val="en-US" w:eastAsia="zh-CN"/>
        </w:rPr>
        <w:t>下</w:t>
      </w:r>
      <w:r>
        <w:rPr>
          <w:rFonts w:hint="eastAsia" w:ascii="Times New Roman" w:hAnsi="Times New Roman" w:cs="宋体"/>
          <w:sz w:val="24"/>
          <w:szCs w:val="28"/>
        </w:rPr>
        <w:t>图所示。</w:t>
      </w:r>
    </w:p>
    <w:p>
      <w:pPr>
        <w:rPr>
          <w:rFonts w:ascii="Times New Roman" w:hAnsi="Times New Roman" w:cs="宋体"/>
          <w:sz w:val="24"/>
          <w:szCs w:val="28"/>
        </w:rPr>
      </w:pPr>
      <w:r>
        <w:rPr>
          <w:rFonts w:hint="eastAsia" w:ascii="Times New Roman" w:hAnsi="Times New Roman"/>
          <w:szCs w:val="20"/>
        </w:rPr>
        <w:drawing>
          <wp:inline distT="0" distB="0" distL="0" distR="0">
            <wp:extent cx="4367530" cy="1769745"/>
            <wp:effectExtent l="0" t="0" r="635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830" cy="177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宋体"/>
          <w:sz w:val="24"/>
          <w:szCs w:val="28"/>
        </w:rPr>
      </w:pPr>
      <w:r>
        <w:rPr>
          <w:rFonts w:hint="eastAsia" w:ascii="Times New Roman" w:hAnsi="Times New Roman" w:cs="宋体"/>
          <w:sz w:val="24"/>
          <w:szCs w:val="28"/>
        </w:rPr>
        <w:t>小功率随动系统组成框图</w:t>
      </w:r>
    </w:p>
    <w:p>
      <w:pPr>
        <w:rPr>
          <w:rFonts w:hint="eastAsia" w:ascii="Times New Roman" w:hAnsi="Times New Roman" w:cs="宋体"/>
          <w:sz w:val="24"/>
          <w:szCs w:val="28"/>
          <w:lang w:val="en-US" w:eastAsia="zh-CN"/>
        </w:rPr>
      </w:pPr>
    </w:p>
    <w:p>
      <w:r>
        <w:drawing>
          <wp:inline distT="0" distB="0" distL="114300" distR="114300">
            <wp:extent cx="5166995" cy="1155065"/>
            <wp:effectExtent l="0" t="0" r="1460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2615" cy="2005330"/>
            <wp:effectExtent l="0" t="0" r="6985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上方电机GS 下方KW K3/KV K4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174A8"/>
    <w:rsid w:val="0B21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2020-05-12T13:53:00Z</dcterms:created>
  <dc:creator>Hantao Li</dc:creator>
  <cp:lastModifiedBy>Hantao Li</cp:lastModifiedBy>
  <dcterms:modified xsi:type="dcterms:W3CDTF">2020-05-12T20:35:33Z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