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carga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robô deve suportar a carga do prehenseur e de um carton, logo deve ter um suporte mínimo de 20 + 50 = 70 kg.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alcance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uma primeira abordagem a disposição das esteiras foi rearranjada de forma que elas ocupem o menor espaço possível. Como demonstrado na representação a seguir, em que temos x= 0 mm: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314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Assim, se considerarmos o robô no ponto médio da disposição das esteiras, o alcance mínimo do braço do robô escolhido deverá ser: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consideremos que o robô ficará a meia altura em relação aos cartons, isto é, na posição da superfície superior do terceiro carton. Assim, temos:Eixo z: 3*350 = 1050 mm.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Convoyeur de palettas: eixo Y: 0 e eixo X: 540 + 540/2 + x + 1334/2 = 1477 mm. Levando em conta a altura: (937^2 + 1050^2) = 1812.19 mm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Convoyeur de cartons: eixo X:0 e eixo Y: 1334/2 + x + 780/2 = 1057 mm. Levando em conta a altura: (1057^2 + 700^2) = 1267.77 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Assim, para x=0 o robô deve ter alcance mínimo de 1812.19 mm.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dos robos que corresponde aos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Capacité de chargé max.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Rayon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Axes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M-710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R-1000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R-2000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M-410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M-410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M-410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M-410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M-410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M710iC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R1000iA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R2000iB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M-410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20iA : 35000 (não é de paletisação) e não cabe em nenhum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M710iC: 42000 (70 kg - 1900mm e 2050mm)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R1000iA: 45000 (80kg, 2230mm, 5 eixos; 80kg, 2230mm, 6 eixos, 100kg, 2230mm, 6 eixos)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R2000iC: 50000 (125kg, 3100mm,6 eixos)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 410iC: 55000 (185kg, 3143mm, 4 eixos)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