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peiv1fvzud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4891088</wp:posOffset>
            </wp:positionH>
            <wp:positionV relativeFrom="page">
              <wp:posOffset>-104774</wp:posOffset>
            </wp:positionV>
            <wp:extent cx="2852738" cy="19018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90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AURELIUS CAPITAL GROUP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2doxt3yj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&amp; CONSULTANT COMPENSATION FRAMEWORK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u1hd2h9i8tk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Commercial Real Estate Origination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[Insert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Independent Sales Consultants &amp; Deal Originators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oaudcjlyd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compensation structure for independent sales consultants, advisors, and originators (“</w:t>
      </w:r>
      <w:r w:rsidDel="00000000" w:rsidR="00000000" w:rsidRPr="00000000">
        <w:rPr>
          <w:b w:val="1"/>
          <w:bCs w:val="1"/>
          <w:rtl w:val="0"/>
        </w:rPr>
        <w:t xml:space="preserve">Consultants</w:t>
      </w:r>
      <w:r w:rsidDel="00000000" w:rsidR="00000000" w:rsidRPr="00000000">
        <w:rPr>
          <w:rtl w:val="0"/>
        </w:rPr>
        <w:t xml:space="preserve">”) who source commercial real estate assets that successfully transact through Aurelius Capital Group (“</w:t>
      </w:r>
      <w:r w:rsidDel="00000000" w:rsidR="00000000" w:rsidRPr="00000000">
        <w:rPr>
          <w:b w:val="1"/>
          <w:bCs w:val="1"/>
          <w:rtl w:val="0"/>
        </w:rPr>
        <w:t xml:space="preserve">ACG</w:t>
      </w:r>
      <w:r w:rsidDel="00000000" w:rsidR="00000000" w:rsidRPr="00000000">
        <w:rPr>
          <w:rtl w:val="0"/>
        </w:rPr>
        <w:t xml:space="preserve">”).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ACG operates a </w:t>
      </w:r>
      <w:r w:rsidDel="00000000" w:rsidR="00000000" w:rsidRPr="00000000">
        <w:rPr>
          <w:b w:val="1"/>
          <w:bCs w:val="1"/>
          <w:rtl w:val="0"/>
        </w:rPr>
        <w:t xml:space="preserve">success-only, performance-based model</w:t>
      </w:r>
      <w:r w:rsidDel="00000000" w:rsidR="00000000" w:rsidRPr="00000000">
        <w:rPr>
          <w:rtl w:val="0"/>
        </w:rPr>
        <w:t xml:space="preserve">. Consultants are compensated </w:t>
      </w:r>
      <w:r w:rsidDel="00000000" w:rsidR="00000000" w:rsidRPr="00000000">
        <w:rPr>
          <w:b w:val="1"/>
          <w:bCs w:val="1"/>
          <w:rtl w:val="0"/>
        </w:rPr>
        <w:t xml:space="preserve">only when a transaction closes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m4547hdap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OF THE CONSULTANT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are responsible for: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potential commercial real estate assets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Introducing asset owners to ACG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Facilitating initial engagement between the owner and ACG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investment advice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Negotiate transaction terms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directly with tokenization platforms unless authorized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ACG legally or contractually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structuring, screening, and execution is handled by ACG.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pea4g0u8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COMMISSION STRUCTURE (50% OF ACG FEES)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qzc55q6ny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Commission Rate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earn </w:t>
      </w:r>
      <w:r w:rsidDel="00000000" w:rsidR="00000000" w:rsidRPr="00000000">
        <w:rPr>
          <w:b w:val="1"/>
          <w:bCs w:val="1"/>
          <w:rtl w:val="0"/>
        </w:rPr>
        <w:t xml:space="preserve">50% of the cash success fee</w:t>
      </w:r>
      <w:r w:rsidDel="00000000" w:rsidR="00000000" w:rsidRPr="00000000">
        <w:rPr>
          <w:rtl w:val="0"/>
        </w:rPr>
        <w:t xml:space="preserve"> received by ACG for transactions directly attributable to their sourced asset.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caps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quotas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retainers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commissions unless the deal closes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57fqj78gs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PAYMENT TRIGGER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commission is earned </w:t>
      </w:r>
      <w:r w:rsidDel="00000000" w:rsidR="00000000" w:rsidRPr="00000000">
        <w:rPr>
          <w:b w:val="1"/>
          <w:bCs w:val="1"/>
          <w:rtl w:val="0"/>
        </w:rPr>
        <w:t xml:space="preserve">only upon a Successful Transaction</w:t>
      </w:r>
      <w:r w:rsidDel="00000000" w:rsidR="00000000" w:rsidRPr="00000000">
        <w:rPr>
          <w:rtl w:val="0"/>
        </w:rPr>
        <w:t xml:space="preserve">, defined as: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closed tokenization, capitalization, or liquidity event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ACG receives its cash success fee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 commissions are paid </w:t>
      </w:r>
      <w:r w:rsidDel="00000000" w:rsidR="00000000" w:rsidRPr="00000000">
        <w:rPr>
          <w:b w:val="1"/>
          <w:bCs w:val="1"/>
          <w:rtl w:val="0"/>
        </w:rPr>
        <w:t xml:space="preserve">only after ACG has received cleared funds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hvpeea4c0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NUMERICAL EARNINGS EXAMPLES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bhnp4cv4g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$2,000,000 Property (Standard Case)</w:t>
      </w:r>
    </w:p>
    <w:tbl>
      <w:tblPr>
        <w:tblStyle w:val="Table1"/>
        <w:tblW w:w="7695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4065"/>
        <w:tblGridChange w:id="0">
          <w:tblGrid>
            <w:gridCol w:w="3630"/>
            <w:gridCol w:w="4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Asset Value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$2,000,000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ACG Success Fee (2.5%)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$50,000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Consultant Commission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$25,000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One deal = $25,000 paid to the Consultant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zp58ndean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456k7042j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$5,000,000 Property</w:t>
      </w:r>
    </w:p>
    <w:tbl>
      <w:tblPr>
        <w:tblStyle w:val="Table2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3285"/>
        <w:tblGridChange w:id="0">
          <w:tblGrid>
            <w:gridCol w:w="3390"/>
            <w:gridCol w:w="3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Asset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$5,000,000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ACG Success Fee (3.0%)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$150,000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Consultant Commission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$75,000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One deal = $75,000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h8l3mj5a8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Multiple Deals Per Year</w:t>
      </w:r>
    </w:p>
    <w:tbl>
      <w:tblPr>
        <w:tblStyle w:val="Table3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800"/>
        <w:gridCol w:w="3540"/>
        <w:tblGridChange w:id="0">
          <w:tblGrid>
            <w:gridCol w:w="1920"/>
            <w:gridCol w:w="1800"/>
            <w:gridCol w:w="3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Deals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Deal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Consultant 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 deals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$2M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$50,000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 deals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$3M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$150,000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 deals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$5M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$450,000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Top performers can generate six-figure income without exclusivity.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8sz3sztz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TIMING OF PAYMENT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 commissions are paid </w:t>
      </w:r>
      <w:r w:rsidDel="00000000" w:rsidR="00000000" w:rsidRPr="00000000">
        <w:rPr>
          <w:b w:val="1"/>
          <w:bCs w:val="1"/>
          <w:rtl w:val="0"/>
        </w:rPr>
        <w:t xml:space="preserve">within 10–15 business days</w:t>
      </w:r>
      <w:r w:rsidDel="00000000" w:rsidR="00000000" w:rsidRPr="00000000">
        <w:rPr>
          <w:rtl w:val="0"/>
        </w:rPr>
        <w:t xml:space="preserve"> after ACG receives its success fee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are made via wire, ACH, or other agreed method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advances or draws are provided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0ecddky1h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DEAL ATTRIBUTION &amp; PROTECTION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Consultants must introduce assets </w:t>
      </w:r>
      <w:r w:rsidDel="00000000" w:rsidR="00000000" w:rsidRPr="00000000">
        <w:rPr>
          <w:b w:val="1"/>
          <w:bCs w:val="1"/>
          <w:rtl w:val="0"/>
        </w:rPr>
        <w:t xml:space="preserve">in writing</w:t>
      </w:r>
      <w:r w:rsidDel="00000000" w:rsidR="00000000" w:rsidRPr="00000000">
        <w:rPr>
          <w:rtl w:val="0"/>
        </w:rPr>
        <w:t xml:space="preserve"> (email or CRM confirmation)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ACG confirms attribution before proceeding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multiple consultants introduce the same asset, </w:t>
      </w:r>
      <w:r w:rsidDel="00000000" w:rsidR="00000000" w:rsidRPr="00000000">
        <w:rPr>
          <w:b w:val="1"/>
          <w:bCs w:val="1"/>
          <w:rtl w:val="0"/>
        </w:rPr>
        <w:t xml:space="preserve">first documented introduction prevails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Circumvention by asset owners is protected under ACG’s mandate agreements</w:t>
      </w:r>
    </w:p>
    <w:p w:rsidR="00000000" w:rsidDel="00000000" w:rsidP="00000000" w:rsidRDefault="00000000" w:rsidRPr="00000000" w14:paraId="0000005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EXCLUSIONS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entitled to: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Equity or token allocations retained by ACG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management fees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income unless separately agreed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(Equity participation may be offered in rare strategic cases, at ACG’s discretion.)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c3yg11nm7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INDEPENDENT CONTRACTOR STATUS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act as </w:t>
      </w:r>
      <w:r w:rsidDel="00000000" w:rsidR="00000000" w:rsidRPr="00000000">
        <w:rPr>
          <w:b w:val="1"/>
          <w:bCs w:val="1"/>
          <w:rtl w:val="0"/>
        </w:rPr>
        <w:t xml:space="preserve">independent contractors</w:t>
      </w:r>
      <w:r w:rsidDel="00000000" w:rsidR="00000000" w:rsidRPr="00000000">
        <w:rPr>
          <w:rtl w:val="0"/>
        </w:rPr>
        <w:t xml:space="preserve">, not employees, partners, or agents of ACG.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are responsible for: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own taxes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(if applicable)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local laws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o3dgncowr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TERMINATION &amp; SURVIVAL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Either party may terminate the relationship at any time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 survive termination </w:t>
      </w:r>
      <w:r w:rsidDel="00000000" w:rsidR="00000000" w:rsidRPr="00000000">
        <w:rPr>
          <w:b w:val="1"/>
          <w:bCs w:val="1"/>
          <w:rtl w:val="0"/>
        </w:rPr>
        <w:t xml:space="preserve">only for deals already under mandate and introduced prior to termination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7g8l79kyz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WHY THIS MODEL IS ATTRACTIVE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cold calling quotas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administrative burden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 risk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capital required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High-dollar commissions per deal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One good property can equal a year’s income.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tfoiko3w0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 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 can bring real, income-producing commercial properties, we will do the rest. When the deal closes, you get paid — materially.”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