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[Name],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wanted to follow up briefly on my earlier note regarding </w:t>
      </w:r>
      <w:r w:rsidDel="00000000" w:rsidR="00000000" w:rsidRPr="00000000">
        <w:rPr>
          <w:b w:val="1"/>
          <w:bCs w:val="1"/>
          <w:rtl w:val="0"/>
        </w:rPr>
        <w:t xml:space="preserve">Aurelius Capital 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with a small number of regulated platforms and structuring partners as an origination layer for income-producing commercial real estate, delivering assets that are already screened for ownership clarity, operating cash flow, and structural executability.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selective on both sides — we only introduce assets where there is a clear fit with a partner’s mandate, and we engage exclusively on a </w:t>
      </w:r>
      <w:r w:rsidDel="00000000" w:rsidR="00000000" w:rsidRPr="00000000">
        <w:rPr>
          <w:b w:val="1"/>
          <w:bCs w:val="1"/>
          <w:rtl w:val="0"/>
        </w:rPr>
        <w:t xml:space="preserve">success-based basis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team is currently focused elsewhere, no problem at all. If it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useful, I’d be happy to spend 15 minutes understanding: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current asset criteria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deal sizes and structures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sourcing friction tends to occur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usually enough to determine whether alignment makes sense.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[Your Name]</w:t>
        <w:br w:type="textWrapping"/>
      </w:r>
      <w:r w:rsidDel="00000000" w:rsidR="00000000" w:rsidRPr="00000000">
        <w:rPr>
          <w:rtl w:val="0"/>
        </w:rPr>
        <w:t xml:space="preserve">Aurelius Capital Group</w:t>
        <w:br w:type="textWrapping"/>
        <w:t xml:space="preserve">Institutional Origination &amp; Strategic Introductions</w:t>
        <w:br w:type="textWrapping"/>
        <w:t xml:space="preserve">contact@aureliuscapitalgroup.com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