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Hello [Name],</w:t>
      </w:r>
    </w:p>
    <w:p w:rsidR="00000000" w:rsidDel="00000000" w:rsidP="00000000" w:rsidRDefault="00000000" w:rsidRPr="00000000" w14:paraId="00000002">
      <w:pPr>
        <w:spacing w:after="240" w:before="240" w:lineRule="auto"/>
        <w:rPr/>
      </w:pPr>
      <w:r w:rsidDel="00000000" w:rsidR="00000000" w:rsidRPr="00000000">
        <w:rPr>
          <w:rtl w:val="0"/>
        </w:rPr>
        <w:t xml:space="preserve">I’m reaching out to introduce </w:t>
      </w:r>
      <w:r w:rsidDel="00000000" w:rsidR="00000000" w:rsidRPr="00000000">
        <w:rPr>
          <w:b w:val="1"/>
          <w:bCs w:val="1"/>
          <w:rtl w:val="0"/>
        </w:rPr>
        <w:t xml:space="preserve">Aurelius Capital Group</w:t>
      </w:r>
      <w:r w:rsidDel="00000000" w:rsidR="00000000" w:rsidRPr="00000000">
        <w:rPr>
          <w:rtl w:val="0"/>
        </w:rPr>
        <w:t xml:space="preserve">, an independent origination and strategic introduction firm focused exclusively on income-producing commercial real estate.</w:t>
      </w:r>
    </w:p>
    <w:p w:rsidR="00000000" w:rsidDel="00000000" w:rsidP="00000000" w:rsidRDefault="00000000" w:rsidRPr="00000000" w14:paraId="00000003">
      <w:pPr>
        <w:spacing w:after="240" w:before="240" w:lineRule="auto"/>
        <w:rPr/>
      </w:pPr>
      <w:r w:rsidDel="00000000" w:rsidR="00000000" w:rsidRPr="00000000">
        <w:rPr>
          <w:rtl w:val="0"/>
        </w:rPr>
        <w:t xml:space="preserve">We operate as a </w:t>
      </w:r>
      <w:r w:rsidDel="00000000" w:rsidR="00000000" w:rsidRPr="00000000">
        <w:rPr>
          <w:b w:val="1"/>
          <w:bCs w:val="1"/>
          <w:rtl w:val="0"/>
        </w:rPr>
        <w:t xml:space="preserve">non-custodial, non-issuing intermediary</w:t>
      </w:r>
      <w:r w:rsidDel="00000000" w:rsidR="00000000" w:rsidRPr="00000000">
        <w:rPr>
          <w:rtl w:val="0"/>
        </w:rPr>
        <w:t xml:space="preserve">, sourcing and screening transaction-ready assets and introducing them selectively to regulated tokenization platforms and capital structuring partners. We do not provide investment advice, custody assets, issue securities, or solicit retail investors. All regulated activity is handled by licensed counterparties.</w:t>
      </w:r>
    </w:p>
    <w:p w:rsidR="00000000" w:rsidDel="00000000" w:rsidP="00000000" w:rsidRDefault="00000000" w:rsidRPr="00000000" w14:paraId="00000004">
      <w:pPr>
        <w:spacing w:after="240" w:before="240" w:lineRule="auto"/>
        <w:rPr/>
      </w:pPr>
      <w:r w:rsidDel="00000000" w:rsidR="00000000" w:rsidRPr="00000000">
        <w:rPr>
          <w:rtl w:val="0"/>
        </w:rPr>
        <w:t xml:space="preserve">Our role is straightforward:</w:t>
        <w:br w:type="textWrapping"/>
        <w:t xml:space="preserve">We remove sourcing friction by delivering </w:t>
      </w:r>
      <w:r w:rsidDel="00000000" w:rsidR="00000000" w:rsidRPr="00000000">
        <w:rPr>
          <w:b w:val="1"/>
          <w:bCs w:val="1"/>
          <w:rtl w:val="0"/>
        </w:rPr>
        <w:t xml:space="preserve">institutionally vetted assets</w:t>
      </w:r>
      <w:r w:rsidDel="00000000" w:rsidR="00000000" w:rsidRPr="00000000">
        <w:rPr>
          <w:rtl w:val="0"/>
        </w:rPr>
        <w:t xml:space="preserve"> that are structurally executable and aligned with partner criteria—so your team spends time on execution, not filtration.</w:t>
      </w:r>
    </w:p>
    <w:p w:rsidR="00000000" w:rsidDel="00000000" w:rsidP="00000000" w:rsidRDefault="00000000" w:rsidRPr="00000000" w14:paraId="00000005">
      <w:pPr>
        <w:spacing w:after="240" w:before="240" w:lineRule="auto"/>
        <w:rPr/>
      </w:pPr>
      <w:r w:rsidDel="00000000" w:rsidR="00000000" w:rsidRPr="00000000">
        <w:rPr>
          <w:rtl w:val="0"/>
        </w:rPr>
        <w:t xml:space="preserve">We’ve developed a disciplined internal screening process that filters assets across ownership clarity, operating cash flow, structural feasibility, and tokenization suitability before any introduction is made. As a result, we introduce </w:t>
      </w:r>
      <w:r w:rsidDel="00000000" w:rsidR="00000000" w:rsidRPr="00000000">
        <w:rPr>
          <w:b w:val="1"/>
          <w:bCs w:val="1"/>
          <w:rtl w:val="0"/>
        </w:rPr>
        <w:t xml:space="preserve">fewer assets, but higher-conviction ones</w:t>
      </w:r>
      <w:r w:rsidDel="00000000" w:rsidR="00000000" w:rsidRPr="00000000">
        <w:rPr>
          <w:rtl w:val="0"/>
        </w:rPr>
        <w:t xml:space="preserve">, and only where there is a clear fit.</w:t>
      </w:r>
    </w:p>
    <w:p w:rsidR="00000000" w:rsidDel="00000000" w:rsidP="00000000" w:rsidRDefault="00000000" w:rsidRPr="00000000" w14:paraId="00000006">
      <w:pPr>
        <w:spacing w:after="240" w:before="240" w:lineRule="auto"/>
        <w:rPr/>
      </w:pPr>
      <w:r w:rsidDel="00000000" w:rsidR="00000000" w:rsidRPr="00000000">
        <w:rPr>
          <w:rtl w:val="0"/>
        </w:rPr>
        <w:t xml:space="preserve">Compensation is </w:t>
      </w:r>
      <w:r w:rsidDel="00000000" w:rsidR="00000000" w:rsidRPr="00000000">
        <w:rPr>
          <w:b w:val="1"/>
          <w:bCs w:val="1"/>
          <w:rtl w:val="0"/>
        </w:rPr>
        <w:t xml:space="preserve">entirely success-based</w:t>
      </w:r>
      <w:r w:rsidDel="00000000" w:rsidR="00000000" w:rsidRPr="00000000">
        <w:rPr>
          <w:rtl w:val="0"/>
        </w:rPr>
        <w:t xml:space="preserve">, typically structured as a cash success fee with optional long-term alignment via a small, non-controlling equity or token allocation. No transaction, no fee.</w:t>
      </w:r>
    </w:p>
    <w:p w:rsidR="00000000" w:rsidDel="00000000" w:rsidP="00000000" w:rsidRDefault="00000000" w:rsidRPr="00000000" w14:paraId="00000007">
      <w:pPr>
        <w:spacing w:after="240" w:before="240" w:lineRule="auto"/>
        <w:rPr/>
      </w:pPr>
      <w:r w:rsidDel="00000000" w:rsidR="00000000" w:rsidRPr="00000000">
        <w:rPr>
          <w:rtl w:val="0"/>
        </w:rPr>
        <w:t xml:space="preserve">I’ve attached a short Partner Overview that outlines: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Our asset screening framework</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Fee and compensation mechanics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Introduction and execution flow</w:t>
      </w:r>
    </w:p>
    <w:p w:rsidR="00000000" w:rsidDel="00000000" w:rsidP="00000000" w:rsidRDefault="00000000" w:rsidRPr="00000000" w14:paraId="0000000B">
      <w:pPr>
        <w:spacing w:after="240" w:before="240" w:lineRule="auto"/>
        <w:rPr/>
      </w:pPr>
      <w:r w:rsidDel="00000000" w:rsidR="00000000" w:rsidRPr="00000000">
        <w:rPr>
          <w:rtl w:val="0"/>
        </w:rPr>
        <w:t xml:space="preserve">If it’s useful, I’d welcome a brief conversation to understand your current asset criteria and explore whether alignment makes sense.</w:t>
      </w:r>
    </w:p>
    <w:p w:rsidR="00000000" w:rsidDel="00000000" w:rsidP="00000000" w:rsidRDefault="00000000" w:rsidRPr="00000000" w14:paraId="0000000C">
      <w:pPr>
        <w:spacing w:after="240" w:before="240" w:lineRule="auto"/>
        <w:rPr/>
      </w:pPr>
      <w:r w:rsidDel="00000000" w:rsidR="00000000" w:rsidRPr="00000000">
        <w:rPr>
          <w:rtl w:val="0"/>
        </w:rPr>
        <w:t xml:space="preserve">Best regards,</w:t>
        <w:br w:type="textWrapping"/>
      </w:r>
      <w:r w:rsidDel="00000000" w:rsidR="00000000" w:rsidRPr="00000000">
        <w:rPr>
          <w:b w:val="1"/>
          <w:bCs w:val="1"/>
          <w:rtl w:val="0"/>
        </w:rPr>
        <w:t xml:space="preserve">[Your Name]</w:t>
        <w:br w:type="textWrapping"/>
      </w:r>
      <w:r w:rsidDel="00000000" w:rsidR="00000000" w:rsidRPr="00000000">
        <w:rPr>
          <w:rtl w:val="0"/>
        </w:rPr>
        <w:t xml:space="preserve">Aurelius Capital Group</w:t>
        <w:br w:type="textWrapping"/>
        <w:t xml:space="preserve">Institutional Origination &amp; Strategic Introductions</w:t>
        <w:br w:type="textWrapping"/>
        <w:t xml:space="preserve">contact@aureliuscapitalgroup.com</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