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zdoclvn2o5pt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4153573</wp:posOffset>
            </wp:positionH>
            <wp:positionV relativeFrom="page">
              <wp:posOffset>104775</wp:posOffset>
            </wp:positionV>
            <wp:extent cx="3347364" cy="22240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364" cy="2224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yx3a7tx7jxlz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ASSET OWNER MANDATE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kittge1hxrr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==============================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kcihejv4x7v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ASSET ORIGINATION &amp; INTRODUCTION AGREEMENT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This Asset Origination &amp; Introduction Agreement (“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Agreement</w:t>
      </w:r>
      <w:r w:rsidDel="00000000" w:rsidR="00000000" w:rsidRPr="00000000">
        <w:rPr>
          <w:sz w:val="24"/>
          <w:szCs w:val="24"/>
          <w:rtl w:val="0"/>
        </w:rPr>
        <w:t xml:space="preserve">”) is entered into as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[Effective Date]</w:t>
      </w:r>
      <w:r w:rsidDel="00000000" w:rsidR="00000000" w:rsidRPr="00000000">
        <w:rPr>
          <w:sz w:val="24"/>
          <w:szCs w:val="24"/>
          <w:rtl w:val="0"/>
        </w:rPr>
        <w:t xml:space="preserve">, by and between: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Aurelius Capital Group OÜ</w:t>
      </w:r>
      <w:r w:rsidDel="00000000" w:rsidR="00000000" w:rsidRPr="00000000">
        <w:rPr>
          <w:sz w:val="24"/>
          <w:szCs w:val="24"/>
          <w:rtl w:val="0"/>
        </w:rPr>
        <w:t xml:space="preserve">, an Estonian private limited company (“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ACG</w:t>
      </w:r>
      <w:r w:rsidDel="00000000" w:rsidR="00000000" w:rsidRPr="00000000">
        <w:rPr>
          <w:sz w:val="24"/>
          <w:szCs w:val="24"/>
          <w:rtl w:val="0"/>
        </w:rPr>
        <w:t xml:space="preserve">”),</w:t>
        <w:br w:type="textWrapping"/>
        <w:t xml:space="preserve">and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[Asset Owner Legal Name]</w:t>
      </w:r>
      <w:r w:rsidDel="00000000" w:rsidR="00000000" w:rsidRPr="00000000">
        <w:rPr>
          <w:sz w:val="24"/>
          <w:szCs w:val="24"/>
          <w:rtl w:val="0"/>
        </w:rPr>
        <w:t xml:space="preserve">, (“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sz w:val="24"/>
          <w:szCs w:val="24"/>
          <w:rtl w:val="0"/>
        </w:rPr>
        <w:t xml:space="preserve">”).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dxrftmct4sx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PURPOSE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Owner hereby appoints ACG to originate, screen, and introduce the commercial real estate asset described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Exhibit A</w:t>
      </w:r>
      <w:r w:rsidDel="00000000" w:rsidR="00000000" w:rsidRPr="00000000">
        <w:rPr>
          <w:sz w:val="24"/>
          <w:szCs w:val="24"/>
          <w:rtl w:val="0"/>
        </w:rPr>
        <w:t xml:space="preserve"> (“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Property</w:t>
      </w:r>
      <w:r w:rsidDel="00000000" w:rsidR="00000000" w:rsidRPr="00000000">
        <w:rPr>
          <w:sz w:val="24"/>
          <w:szCs w:val="24"/>
          <w:rtl w:val="0"/>
        </w:rPr>
        <w:t xml:space="preserve">”) to institutional tokenization platforms, capital structuring firms, and other qualified counterparties.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ACG’s role is strictly limited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non-custodial, non-binding introduction services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6f7kgetri1q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SCOPE OF SERVICES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ACG may: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Screen the Property for institutional readiness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Prepare high-level asset summaries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Introduce the Property to selected third-party counterparties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Facilitate early-stage alignment discussions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44prxdagat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3if3x1kqrvf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ACG shall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Provide investment, legal, or tax advice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Issue securities or tokens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Custody funds or assets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Act as a broker-dealer or regulated intermediary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o3a0doko4ma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EXCLUSIVITY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☐ Exclusive ☐ Non-Exclusive (check one)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If exclusive, Owner shall not engage any third party to perform substantially similar services with respect to the Property during the Term.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nhyo8ecmtn6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SUCCESS-BASED COMPENSATION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93cbn2jrx69c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4.1 Definition of Successful Transaction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Successful Transaction</w:t>
      </w:r>
      <w:r w:rsidDel="00000000" w:rsidR="00000000" w:rsidRPr="00000000">
        <w:rPr>
          <w:sz w:val="24"/>
          <w:szCs w:val="24"/>
          <w:rtl w:val="0"/>
        </w:rPr>
        <w:t xml:space="preserve">” means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any transaction</w:t>
      </w:r>
      <w:r w:rsidDel="00000000" w:rsidR="00000000" w:rsidRPr="00000000">
        <w:rPr>
          <w:sz w:val="24"/>
          <w:szCs w:val="24"/>
          <w:rtl w:val="0"/>
        </w:rPr>
        <w:t xml:space="preserve">, consummated during the Term or within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twelve (12) months thereafter</w:t>
      </w:r>
      <w:r w:rsidDel="00000000" w:rsidR="00000000" w:rsidRPr="00000000">
        <w:rPr>
          <w:sz w:val="24"/>
          <w:szCs w:val="24"/>
          <w:rtl w:val="0"/>
        </w:rPr>
        <w:t xml:space="preserve">, that results in liquidity, capitalization, or economic consideration related to the Property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 any counterparty introduced, directly or indirectly, by ACG</w:t>
      </w:r>
      <w:r w:rsidDel="00000000" w:rsidR="00000000" w:rsidRPr="00000000">
        <w:rPr>
          <w:sz w:val="24"/>
          <w:szCs w:val="24"/>
          <w:rtl w:val="0"/>
        </w:rPr>
        <w:t xml:space="preserve">, regardless of form, structure, entity, timing, or consideration.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This includes, without limitation: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Token issuance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Capital raise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Structured equity placement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Partial sale or fractionalization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1u5k4lqlroi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92idk8knan3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jjwepue6hsi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334ryqo03ij7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4.2 Cash Success Fee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Upon a Successful Transaction, Owner shall pay ACG a cash success fee equal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[●]% of the gross transaction value</w:t>
      </w:r>
      <w:r w:rsidDel="00000000" w:rsidR="00000000" w:rsidRPr="00000000">
        <w:rPr>
          <w:sz w:val="24"/>
          <w:szCs w:val="24"/>
          <w:rtl w:val="0"/>
        </w:rPr>
        <w:t xml:space="preserve">, payable at closing or concurrent with capital disbursement.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Successful Transaction = no fee.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dwfls4lf1gy2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4.3 Optional Long-Term Alignment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By mutual written agreement executed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 to closing</w:t>
      </w:r>
      <w:r w:rsidDel="00000000" w:rsidR="00000000" w:rsidRPr="00000000">
        <w:rPr>
          <w:sz w:val="24"/>
          <w:szCs w:val="24"/>
          <w:rtl w:val="0"/>
        </w:rPr>
        <w:t xml:space="preserve">, ACG may retain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non-controlling equity or token allocation</w:t>
      </w:r>
      <w:r w:rsidDel="00000000" w:rsidR="00000000" w:rsidRPr="00000000">
        <w:rPr>
          <w:sz w:val="24"/>
          <w:szCs w:val="24"/>
          <w:rtl w:val="0"/>
        </w:rPr>
        <w:t xml:space="preserve"> equal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[●]% of post-issuance units</w:t>
      </w:r>
      <w:r w:rsidDel="00000000" w:rsidR="00000000" w:rsidRPr="00000000">
        <w:rPr>
          <w:sz w:val="24"/>
          <w:szCs w:val="24"/>
          <w:rtl w:val="0"/>
        </w:rPr>
        <w:t xml:space="preserve">, in addition to or in partial substitution for the cash success fee.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Such allocation: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Confers no management or control rights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Imposes no fiduciary obligations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Shall be fully disclosed to all relevant parties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wtdtzfw5yhx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NON-CIRCUMVENTION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Owner shall not directly or indirectly circumvent ACG, including through affiliates, related parties, special purpose vehicles, successor entities, or alternative transaction structures.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Any transaction completed in violation of this provision shall be deemed a Successful Transaction for fee purposes.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70eo1w1b7m6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CAUSATION PRESUMPTION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Introduction by ACG shall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presumed to be the proximate cause</w:t>
      </w:r>
      <w:r w:rsidDel="00000000" w:rsidR="00000000" w:rsidRPr="00000000">
        <w:rPr>
          <w:sz w:val="24"/>
          <w:szCs w:val="24"/>
          <w:rtl w:val="0"/>
        </w:rPr>
        <w:t xml:space="preserve"> of any Successful Transaction unless Owner proves otherwise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and convincing evidence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ftassm78mdq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TERM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This Agreement shall remain in effect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[90–180] days</w:t>
      </w:r>
      <w:r w:rsidDel="00000000" w:rsidR="00000000" w:rsidRPr="00000000">
        <w:rPr>
          <w:sz w:val="24"/>
          <w:szCs w:val="24"/>
          <w:rtl w:val="0"/>
        </w:rPr>
        <w:t xml:space="preserve">, unless extended in writing.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2td0ufvpndb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OWNER REPRESENTATIONS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Owner represents and warrants that: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They have authority to transact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All information provided is accurate and complete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No undisclosed litigation or encumbrances materially affect the Property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zyysolal5tx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CONFIDENTIALITY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All non-public information exchanged shall remain confidential unless disclosure is required by law.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33yn8eibyb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10. GOVERNING LAW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This Agreement shall be governed by the laws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Estonia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ivapehdljx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gssdheesz0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6v77xr83mi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hzp3kqih0m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q3ysym6zi93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ASSET INTAKE &amp; DISCLOSURE FORM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8ljs2t3erh1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==============================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crfv6kgtmoe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AURELIUS CAPITAL GROUP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e3s2ucxjdpo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Asset Intake &amp; Disclosure Questionnaire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Asset Owner Legal Name:</w:t>
        <w:br w:type="textWrapping"/>
        <w:t xml:space="preserve">Authorized Signatory:</w:t>
        <w:br w:type="textWrapping"/>
        <w:t xml:space="preserve">Email / Phone: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i1o83jpwsb8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A — PROPERTY OVERVIEW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Property Address: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Asset Type: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Estimated Market Value: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Year Built / Renovated: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vqaz44g8rlw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B — OWNERSHIP &amp; AUTHORITY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Legal Owner Entity: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Ownership % Held: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Are co-owner consents required? ☐ Yes ☐ No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Any ownership disputes? ☐ Yes ☐ No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ajes2axbpwf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C — FINANCIAL SUMMARY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Trailing 12-month NOI: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Occupancy Rate: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Major Tenants (% of income):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Known CapEx requirements: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D — DEBT &amp; ENCUMBRANCES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Existing debt outstanding: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Lender(s):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Restrictions on equity transactions? ☐ Yes ☐ No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Liens or encumbrances? ☐ Yes ☐ No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jlc9zx67r2r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E — LEGAL &amp; REGULATORY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Pending litigation? ☐ Yes ☐ No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Environmental issues? ☐ Yes ☐ No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Regulatory violations? ☐ Yes ☐ No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If yes, explain fully.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ee2mcbwbi6v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F — OWNER OBJECTIVES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Desired liquidity amount: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% ownership to be structured/tokenized: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Target timeline: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ue0axsktuxk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SECTION G — REPRESENTATIONS &amp; ACKNOWLEDGMENTS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Owner acknowledges and agrees that: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All information provided is accurate and complete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ACG relies exclusively on information provided by Owner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ACG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independently verify information unless agreed in writing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Submission does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constitute approval, endorsement, or recommendation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Owner agrees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indemnify and hold harmless ACG</w:t>
      </w:r>
      <w:r w:rsidDel="00000000" w:rsidR="00000000" w:rsidRPr="00000000">
        <w:rPr>
          <w:sz w:val="24"/>
          <w:szCs w:val="24"/>
          <w:rtl w:val="0"/>
        </w:rPr>
        <w:t xml:space="preserve"> from losses arising from materially false or misleading information provided herein.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Authorized Signature:</w:t>
        <w:br w:type="textWrapping"/>
        <w:t xml:space="preserve">Name / Title:</w:t>
        <w:br w:type="textWrapping"/>
        <w:t xml:space="preserve">Date: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wbjhj6kigo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9zzxnwl9uqkn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MUTUAL NON-DISCLOSURE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bv5y6xdnl5k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==============================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9y3qu26c7od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MUTUAL NON-DISCLOSURE AGREEMENT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This Mutual Non-Disclosure Agreement (“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Agreement</w:t>
      </w:r>
      <w:r w:rsidDel="00000000" w:rsidR="00000000" w:rsidRPr="00000000">
        <w:rPr>
          <w:sz w:val="24"/>
          <w:szCs w:val="24"/>
          <w:rtl w:val="0"/>
        </w:rPr>
        <w:t xml:space="preserve">”) is entered into as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[Effective Date]</w:t>
      </w:r>
      <w:r w:rsidDel="00000000" w:rsidR="00000000" w:rsidRPr="00000000">
        <w:rPr>
          <w:sz w:val="24"/>
          <w:szCs w:val="24"/>
          <w:rtl w:val="0"/>
        </w:rPr>
        <w:t xml:space="preserve">, by and between: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Aurelius Capital Group OÜ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[Counterparty Name]</w:t>
      </w:r>
      <w:r w:rsidDel="00000000" w:rsidR="00000000" w:rsidRPr="00000000">
        <w:rPr>
          <w:sz w:val="24"/>
          <w:szCs w:val="24"/>
          <w:rtl w:val="0"/>
        </w:rPr>
        <w:t xml:space="preserve"> (each a “Party”).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18zjgx8eqre" w:id="41"/>
      <w:bookmarkEnd w:id="4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PURPOSE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The Parties wish to exchange confidential information solely to evaluate a potential business relationship related to commercial real estate origination, structuring, or tokenization (“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r w:rsidDel="00000000" w:rsidR="00000000" w:rsidRPr="00000000">
        <w:rPr>
          <w:sz w:val="24"/>
          <w:szCs w:val="24"/>
          <w:rtl w:val="0"/>
        </w:rPr>
        <w:t xml:space="preserve">”).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4ov80dzob7" w:id="42"/>
      <w:bookmarkEnd w:id="4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CONFIDENTIAL INFORMATION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“Confidential Information” includes all non-public information disclosed in any form relating to: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Financial data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Transaction structures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Business processes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Partner relationships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wstbnvfm3vh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5qnrt4592rz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d5z8y5rohd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pqx7tymcy4c" w:id="46"/>
      <w:bookmarkEnd w:id="4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OBLIGATIONS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Each Party agrees to: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Maintain confidentiality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Use information solely for the Purpose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Limit disclosure to personnel with a need to know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doh9c8tv8xt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EXCLUSIONS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Confidential Information does not include information that: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Is publicly available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Was independently developed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Is required to be disclosed by law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0okwdsn6c6o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RESIDUAL KNOWLEDGE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Nothing herein restricts either Party from using residual knowledge retained in unaided memory, provided no Confidential Information is intentionally disclosed.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qbqi4m67wan" w:id="49"/>
      <w:bookmarkEnd w:id="4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NO EXCLUSIVITY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Nothing in this Agreement creates an exclusive relationship or restricts either Party from engaging in similar discussions with third parties.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rs7wly608xy" w:id="50"/>
      <w:bookmarkEnd w:id="5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LIMITATION OF INJUNCTIVE RELIEF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Injunctive relief shall be limited solely to preventing unauthorized disclosure and shall not restrict lawful business operations.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rygvwm3dmzb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TERM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This Agreement shall remain in effect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 (3) years</w:t>
      </w:r>
      <w:r w:rsidDel="00000000" w:rsidR="00000000" w:rsidRPr="00000000">
        <w:rPr>
          <w:sz w:val="24"/>
          <w:szCs w:val="24"/>
          <w:rtl w:val="0"/>
        </w:rPr>
        <w:t xml:space="preserve">, with confidentiality obligations surviving termination.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13gk03stdbi" w:id="52"/>
      <w:bookmarkEnd w:id="5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GOVERNING LAW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rPr>
          <w:sz w:val="24"/>
          <w:szCs w:val="24"/>
          <w:rtl w:val="0"/>
        </w:rPr>
        <w:t xml:space="preserve">This Agreement shall be governed by the laws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England and Wales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76dopcma69s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/>
      </w:pPr>
      <w:bookmarkStart w:colFirst="0" w:colLast="0" w:name="_76dopcma69s" w:id="4"/>
      <w:bookmarkEnd w:id="4"/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