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Panteon Flash: итоговый отчёт по готовности к реальным торгам</w:t>
      </w:r>
    </w:p>
    <w:p>
      <w:pPr>
        <w:jc w:val="center"/>
      </w:pPr>
      <w:r>
        <w:t>Дата: 2026-05-23 | Ветка анализа: Panteon_Flash</w:t>
      </w:r>
    </w:p>
    <w:p>
      <w:pPr>
        <w:pStyle w:val="Heading1"/>
      </w:pPr>
      <w:r>
        <w:t>Executive Summary</w:t>
      </w:r>
    </w:p>
    <w:p>
      <w:r>
        <w:t>Лучший устойчивый вариант для следующего этапа: proven_solo_portfolio_hard_solo_momentum_cap10_generated_selected_deny_round2_terminal_atom.</w:t>
      </w:r>
    </w:p>
    <w:p>
      <w:r>
        <w:t>Результат достаточен для ограниченного pilot-режима, но не для неограниченного запуска реальных торгов. Обязательны малые лимиты, shadow-мониторинг, daily attribution и автоматический kill-switch.</w:t>
      </w:r>
    </w:p>
    <w:p>
      <w:pPr>
        <w:pStyle w:val="Heading1"/>
      </w:pPr>
      <w:r>
        <w:t>Лучший результат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Период</w:t>
            </w:r>
          </w:p>
        </w:tc>
        <w:tc>
          <w:tcPr>
            <w:tcW w:type="dxa" w:w="1224"/>
          </w:tcPr>
          <w:p>
            <w:r>
              <w:t>Flash PnL</w:t>
            </w:r>
          </w:p>
        </w:tc>
        <w:tc>
          <w:tcPr>
            <w:tcW w:type="dxa" w:w="1224"/>
          </w:tcPr>
          <w:p>
            <w:r>
              <w:t>Best comp</w:t>
            </w:r>
          </w:p>
        </w:tc>
        <w:tc>
          <w:tcPr>
            <w:tcW w:type="dxa" w:w="1224"/>
          </w:tcPr>
          <w:p>
            <w:r>
              <w:t>Alpha</w:t>
            </w:r>
          </w:p>
        </w:tc>
        <w:tc>
          <w:tcPr>
            <w:tcW w:type="dxa" w:w="1224"/>
          </w:tcPr>
          <w:p>
            <w:r>
              <w:t>Beats best</w:t>
            </w:r>
          </w:p>
        </w:tc>
        <w:tc>
          <w:tcPr>
            <w:tcW w:type="dxa" w:w="1224"/>
          </w:tcPr>
          <w:p>
            <w:r>
              <w:t>LCB</w:t>
            </w:r>
          </w:p>
        </w:tc>
        <w:tc>
          <w:tcPr>
            <w:tcW w:type="dxa" w:w="1224"/>
          </w:tcPr>
          <w:p>
            <w:r>
              <w:t>Churn/day</w:t>
            </w:r>
          </w:p>
        </w:tc>
        <w:tc>
          <w:tcPr>
            <w:tcW w:type="dxa" w:w="1224"/>
          </w:tcPr>
          <w:p>
            <w:r>
              <w:t>Exec signals</w:t>
            </w:r>
          </w:p>
        </w:tc>
      </w:tr>
      <w:tr>
        <w:tc>
          <w:tcPr>
            <w:tcW w:type="dxa" w:w="1224"/>
          </w:tcPr>
          <w:p>
            <w:r>
              <w:t>2025</w:t>
            </w:r>
          </w:p>
        </w:tc>
        <w:tc>
          <w:tcPr>
            <w:tcW w:type="dxa" w:w="1224"/>
          </w:tcPr>
          <w:p>
            <w:r>
              <w:t>20.68%</w:t>
            </w:r>
          </w:p>
        </w:tc>
        <w:tc>
          <w:tcPr>
            <w:tcW w:type="dxa" w:w="1224"/>
          </w:tcPr>
          <w:p>
            <w:r>
              <w:t>18.15%</w:t>
            </w:r>
          </w:p>
        </w:tc>
        <w:tc>
          <w:tcPr>
            <w:tcW w:type="dxa" w:w="1224"/>
          </w:tcPr>
          <w:p>
            <w:r>
              <w:t>2.53 п.п.</w:t>
            </w:r>
          </w:p>
        </w:tc>
        <w:tc>
          <w:tcPr>
            <w:tcW w:type="dxa" w:w="1224"/>
          </w:tcPr>
          <w:p>
            <w:r>
              <w:t>да</w:t>
            </w:r>
          </w:p>
        </w:tc>
        <w:tc>
          <w:tcPr>
            <w:tcW w:type="dxa" w:w="1224"/>
          </w:tcPr>
          <w:p>
            <w:r>
              <w:t>да</w:t>
            </w:r>
          </w:p>
        </w:tc>
        <w:tc>
          <w:tcPr>
            <w:tcW w:type="dxa" w:w="1224"/>
          </w:tcPr>
          <w:p>
            <w:r>
              <w:t>0.48</w:t>
            </w:r>
          </w:p>
        </w:tc>
        <w:tc>
          <w:tcPr>
            <w:tcW w:type="dxa" w:w="1224"/>
          </w:tcPr>
          <w:p>
            <w:r>
              <w:t>86</w:t>
            </w:r>
          </w:p>
        </w:tc>
      </w:tr>
      <w:tr>
        <w:tc>
          <w:tcPr>
            <w:tcW w:type="dxa" w:w="1224"/>
          </w:tcPr>
          <w:p>
            <w:r>
              <w:t>2026 H1</w:t>
            </w:r>
          </w:p>
        </w:tc>
        <w:tc>
          <w:tcPr>
            <w:tcW w:type="dxa" w:w="1224"/>
          </w:tcPr>
          <w:p>
            <w:r>
              <w:t>11.31%</w:t>
            </w:r>
          </w:p>
        </w:tc>
        <w:tc>
          <w:tcPr>
            <w:tcW w:type="dxa" w:w="1224"/>
          </w:tcPr>
          <w:p>
            <w:r>
              <w:t>8.24%</w:t>
            </w:r>
          </w:p>
        </w:tc>
        <w:tc>
          <w:tcPr>
            <w:tcW w:type="dxa" w:w="1224"/>
          </w:tcPr>
          <w:p>
            <w:r>
              <w:t>3.07 п.п.</w:t>
            </w:r>
          </w:p>
        </w:tc>
        <w:tc>
          <w:tcPr>
            <w:tcW w:type="dxa" w:w="1224"/>
          </w:tcPr>
          <w:p>
            <w:r>
              <w:t>да</w:t>
            </w:r>
          </w:p>
        </w:tc>
        <w:tc>
          <w:tcPr>
            <w:tcW w:type="dxa" w:w="1224"/>
          </w:tcPr>
          <w:p>
            <w:r>
              <w:t>да</w:t>
            </w:r>
          </w:p>
        </w:tc>
        <w:tc>
          <w:tcPr>
            <w:tcW w:type="dxa" w:w="1224"/>
          </w:tcPr>
          <w:p>
            <w:r>
              <w:t>0.76</w:t>
            </w:r>
          </w:p>
        </w:tc>
        <w:tc>
          <w:tcPr>
            <w:tcW w:type="dxa" w:w="1224"/>
          </w:tcPr>
          <w:p>
            <w:r>
              <w:t>40</w:t>
            </w:r>
          </w:p>
        </w:tc>
      </w:tr>
    </w:tbl>
    <w:p>
      <w:r>
        <w:t>Конфигурация: базовый cap10 portfolio, generated selected-deny из 2025 base+v1, и terminal guard для ensemble:Solo_LiveCrashHunter|ATOM/USDT|FUT_SHORT_FULL.</w:t>
      </w:r>
    </w:p>
    <w:p>
      <w:pPr>
        <w:pStyle w:val="Heading1"/>
      </w:pPr>
      <w:r>
        <w:t>Визуализации</w:t>
      </w:r>
    </w:p>
    <w:p>
      <w:r>
        <w:drawing>
          <wp:inline xmlns:a="http://schemas.openxmlformats.org/drawingml/2006/main" xmlns:pic="http://schemas.openxmlformats.org/drawingml/2006/picture">
            <wp:extent cx="5760720" cy="2215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nl_vs_best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Flash против лучшего standalone-компонента.</w:t>
      </w:r>
    </w:p>
    <w:p>
      <w:r>
        <w:drawing>
          <wp:inline xmlns:a="http://schemas.openxmlformats.org/drawingml/2006/main" xmlns:pic="http://schemas.openxmlformats.org/drawingml/2006/picture">
            <wp:extent cx="576072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lpha_by_it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Alpha по итерациям и strict alpha threshold.</w:t>
      </w:r>
    </w:p>
    <w:p>
      <w:r>
        <w:drawing>
          <wp:inline xmlns:a="http://schemas.openxmlformats.org/drawingml/2006/main" xmlns:pic="http://schemas.openxmlformats.org/drawingml/2006/picture">
            <wp:extent cx="5760720" cy="2215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gnals_and_ch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Активность, исполнимые сигналы и churn.</w:t>
      </w:r>
    </w:p>
    <w:p>
      <w:r>
        <w:drawing>
          <wp:inline xmlns:a="http://schemas.openxmlformats.org/drawingml/2006/main" xmlns:pic="http://schemas.openxmlformats.org/drawingml/2006/picture">
            <wp:extent cx="5760720" cy="2592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ate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Production-gates по ключевым итерациям.</w:t>
      </w:r>
    </w:p>
    <w:p>
      <w:pPr>
        <w:pStyle w:val="Heading1"/>
      </w:pPr>
      <w:r>
        <w:t>Причины успехов</w:t>
      </w:r>
    </w:p>
    <w:p>
      <w:pPr>
        <w:pStyle w:val="ListBullet"/>
      </w:pPr>
      <w:r>
        <w:t>Контроль конкретных actor|symbol|action ключей оказался полезнее, чем запрет акторов целиком.</w:t>
      </w:r>
    </w:p>
    <w:p>
      <w:pPr>
        <w:pStyle w:val="ListBullet"/>
      </w:pPr>
      <w:r>
        <w:t>Round2 selected-deny снял selection bias: 2025 вырос с 3.76% до 21.35%.</w:t>
      </w:r>
    </w:p>
    <w:p>
      <w:pPr>
        <w:pStyle w:val="ListBullet"/>
      </w:pPr>
      <w:r>
        <w:t>Terminal ATOM guard улучшил 2026 H1, если применять его поверх round2, а не вместо round2.</w:t>
      </w:r>
    </w:p>
    <w:p>
      <w:pPr>
        <w:pStyle w:val="ListBullet"/>
      </w:pPr>
      <w:r>
        <w:t>Финальный вариант прошёл оба контрольных периода: 2025 остался выше лучшего компонента, а 2026 H1 преодолел strict alpha threshold.</w:t>
      </w:r>
    </w:p>
    <w:p>
      <w:pPr>
        <w:pStyle w:val="Heading1"/>
      </w:pPr>
      <w:r>
        <w:t>Причины провалов</w:t>
      </w:r>
    </w:p>
    <w:p>
      <w:pPr>
        <w:pStyle w:val="ListBullet"/>
      </w:pPr>
      <w:r>
        <w:t>Broad shadow deny переобучался и ломал 2025: широкая фильтрация full-shadow статистики перерезала полезные ключи и снижала Flash PnL до 2.57%.</w:t>
      </w:r>
    </w:p>
    <w:p>
      <w:pPr>
        <w:pStyle w:val="ListBullet"/>
      </w:pPr>
      <w:r>
        <w:t>Одиночный ATOM deny без round2-базы выглядел хорошо на 2026 H1, но проваливал 2025: без уже обученного round2 слоя Flash начинал выбирать плохие fallback-кандидаты.</w:t>
      </w:r>
    </w:p>
    <w:p>
      <w:pPr>
        <w:pStyle w:val="ListBullet"/>
      </w:pPr>
      <w:r>
        <w:t>Расширение open-limit до open2 ухудшало OOS: 2026 H1 снижался с 10.14% до 9.54%, значит текущие лимиты реально защищают от плохой экспозиции.</w:t>
      </w:r>
    </w:p>
    <w:p>
      <w:pPr>
        <w:pStyle w:val="Heading1"/>
      </w:pPr>
      <w:r>
        <w:t>Рекомендация по реальным торгам</w:t>
      </w:r>
    </w:p>
    <w:p>
      <w:r>
        <w:t>Запускать можно только ограниченный pilot: сначала paper/live-shadow, затем малый real capital. Полноценный production запрещён до полного 2022-2026 walk-forward и стресс-теста комиссий.</w:t>
      </w:r>
    </w:p>
    <w:p>
      <w:pPr>
        <w:pStyle w:val="ListBullet"/>
      </w:pPr>
      <w:r>
        <w:t>max_new_opens_per_bar оставить 1;</w:t>
      </w:r>
    </w:p>
    <w:p>
      <w:pPr>
        <w:pStyle w:val="ListBullet"/>
      </w:pPr>
      <w:r>
        <w:t>kill-switch при rolling PanteonAdvantage &lt; 0 или drawdown &gt; 1.5-2.0%;</w:t>
      </w:r>
    </w:p>
    <w:p>
      <w:pPr>
        <w:pStyle w:val="ListBullet"/>
      </w:pPr>
      <w:r>
        <w:t>ежедневно проверять standalone_vs_flash_selected и flash_attribution_summary;</w:t>
      </w:r>
    </w:p>
    <w:p>
      <w:pPr>
        <w:pStyle w:val="ListBullet"/>
      </w:pPr>
      <w:r>
        <w:t>не добавлять новые deny-правила без 2025 + 2026 H1 + holdout валидации.</w:t>
      </w:r>
    </w:p>
    <w:p>
      <w:pPr>
        <w:pStyle w:val="Heading1"/>
      </w:pPr>
      <w:r>
        <w:t>Артефакты</w:t>
      </w:r>
    </w:p>
    <w:p>
      <w:pPr>
        <w:pStyle w:val="ListBullet"/>
      </w:pPr>
      <w:r>
        <w:t>C:\Work\Crypto_exchange\Reports\PanteonFlashFinalTradingReadiness_20260523\panteon_flash_iteration_metrics.csv</w:t>
      </w:r>
    </w:p>
    <w:p>
      <w:pPr>
        <w:pStyle w:val="ListBullet"/>
      </w:pPr>
      <w:r>
        <w:t>C:\Work\Crypto_exchange\Reports\PanteonFlashFinalTradingReadiness_20260523\panteon_flash_iteration_metrics.json</w:t>
      </w:r>
    </w:p>
    <w:p>
      <w:pPr>
        <w:pStyle w:val="ListBullet"/>
      </w:pPr>
      <w:r>
        <w:t>C:\Work\Crypto_exchange\Reports\PanteonFlashFinalTradingReadiness_20260523\Panteon_Flash_final_trading_readiness_report.md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