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2"/>
        <w:ind w:left="0" w:right="0" w:hanging="1"/>
        <w:jc w:val="center"/>
        <w:tabs>
          <w:tab w:val="left" w:pos="56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38191" cy="1152287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2038191" cy="1152287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0.5pt;height:90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8"/>
        <w:numPr>
          <w:ilvl w:val="0"/>
          <w:numId w:val="0"/>
        </w:numPr>
        <w:ind w:left="0" w:right="283" w:firstLine="0"/>
        <w:jc w:val="center"/>
        <w:spacing w:before="1" w:after="0"/>
        <w:rPr>
          <w:rFonts w:ascii="Times New Roman" w:hAnsi="Times New Roman" w:cs="Times New Roman"/>
          <w:sz w:val="28"/>
          <w:szCs w:val="28"/>
        </w:rPr>
        <w:outlineLvl w:val="4"/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МИНОБРНАУКИ РОССИИ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657" w:right="283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657" w:right="283" w:firstLine="0"/>
        <w:jc w:val="center"/>
        <w:spacing w:before="0" w:after="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«Московский государственный технологический университет «СТАНКИН» (ФГБОУ ВО «МГТУ «СТАНКИН»)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4"/>
        <w:ind w:left="105" w:right="283" w:firstLine="0"/>
        <w:jc w:val="center"/>
        <w:spacing w:line="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0"/>
                <wp:effectExtent l="0" t="0" r="0" b="0"/>
                <wp:docPr id="2" name="Фигура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/>
                      <wps:wsp>
                        <wps:cNvPr id="0" name=""/>
                        <wps:cNvSpPr/>
                        <wps:spPr bwMode="auto">
                          <a:xfrm flipV="1">
                            <a:off x="0" y="-359"/>
                            <a:ext cx="5978143" cy="12700"/>
                          </a:xfrm>
                          <a:prstGeom prst="line">
                            <a:avLst/>
                          </a:prstGeom>
                          <a:ln w="8999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0.0pt;height:0.0pt;mso-wrap-distance-left:0.0pt;mso-wrap-distance-top:0.0pt;mso-wrap-distance-right:0.0pt;mso-wrap-distance-bottom:0.0pt;" coordorigin="0,0" coordsize="0,0">
                <v:line id="shape 2" o:spid="_x0000_s2" style="position:absolute;left:0;text-align:left;flip:y;visibility:visible;" from="0.0pt,0.0pt" to="0.0pt,0.0pt" filled="f" strokecolor="#000000" strokeweight="0.71pt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0" w:right="283" w:firstLine="32"/>
        <w:jc w:val="center"/>
        <w:spacing w:before="92" w:after="1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0" w:right="283" w:firstLine="32"/>
        <w:jc w:val="center"/>
        <w:spacing w:before="92"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измерительных информационных систем и технологий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Дисциплина «Международная стандартизация»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Прогрессии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АДБ-20-03</w:t>
        <w:br/>
        <w:t xml:space="preserve">Васильев Д.И.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кафедры ИИСиТ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Серко Н.Б.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Москва 2023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Арифметическая прогрессия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612"/>
        <w:numPr>
          <w:ilvl w:val="0"/>
          <w:numId w:val="9"/>
        </w:numPr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ГОСТ Р 8.586-2001 "Единая система защиты от пожара. Пожарная сигнализация автоматическая. Общие требования". В этом стандарте арифметическая прогрессия используется для определения требуемых уровней звукового давления сигналов пожарной сигнализации на разны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х расстояниях от источника звука. Например, для определенного типа сигналов требуется, чтобы звуковое давление на расстоянии 1 метр было не менее 80 дБ, на расстоянии 2 метра - не менее 70 дБ, на расстоянии 3 метра - не менее 60 дБ и так далее.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left="1" w:right="0" w:hanging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numPr>
          <w:ilvl w:val="0"/>
          <w:numId w:val="9"/>
        </w:numPr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ГОСТ Р 51206-99 "Основные нормы радиационной безопасности (ОНРБ-99)". В этом стандарте арифметическая прогрессия применяется для определения границ допустимых значений радиационного фона в различных зонах исследования. Например, для определенного типа радиа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ционного исследования может быть указано, что радиационный фон не должен превышать 0,1 микрорентген в час в зоне А, 0,2 микрорентген в час в зоне В, 0,3 микрорентген в час в зоне С и так далее.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</w:p>
    <w:p>
      <w:pPr>
        <w:pStyle w:val="612"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righ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Ряды Ренара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</w:p>
    <w:p>
      <w:pPr>
        <w:pStyle w:val="612"/>
        <w:numPr>
          <w:ilvl w:val="0"/>
          <w:numId w:val="11"/>
        </w:numPr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Ряды Ренара в ГОСТ 3900-85 "Стальные трубы. Ряды и диаметры": В этом стандарте применяются ряды Ренара для определения стандартных диаметров стальных труб. Например, ряд 10 содержит диаметры труб, начиная с 10 мм и увеличиваясь по геометрической прогрессии 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в 1.2 раза. Ряды 15, 20, 25 и другие также используются для определения диаметров труб различных размеров. 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</w:p>
    <w:p>
      <w:pPr>
        <w:pStyle w:val="612"/>
        <w:numPr>
          <w:ilvl w:val="0"/>
          <w:numId w:val="11"/>
        </w:numPr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Ряды Ренара в ГОСТ 27834-2015 "Продукты химической промышленности. Стандартизованные размеры тары": В этом стандарте применяются ряды Ренара для определения стандартизованных размеров тары, используемой в химической промышленности. Например, ряд 63 содержит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 стандартные размеры емкостей и бутылок, где каждый следующий размер получается умножением предыдущего на 1.6. Ряды 100, 160, 250 и другие также используются для определения стандартных размеров различных видов тары. 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</w:p>
    <w:p>
      <w:pPr>
        <w:pStyle w:val="612"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</w:p>
    <w:p>
      <w:pPr>
        <w:pStyle w:val="612"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2"/>
        <w:ind w:right="0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Пример рядов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в электротехнике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(Е)</w:t>
      </w:r>
      <w:bookmarkStart w:id="0" w:name="undefined"/>
      <w:r>
        <w:rPr>
          <w:b/>
          <w:bCs/>
          <w:sz w:val="28"/>
          <w:szCs w:val="28"/>
          <w:u w:val="none"/>
        </w:rPr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</w:p>
    <w:p>
      <w:pPr>
        <w:pStyle w:val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ГОСТ Р 54691-2011 "Конденсаторы фольговые полимерные. Технические условия". В этом стандарте используются ряды Е для определения номинальных значений емкости фольговых полимерных конденсаторов. Например, для фольговых конденсаторов ряда Е6, номинальные знач</w:t>
      </w:r>
      <w:r>
        <w:rPr>
          <w:rFonts w:ascii="Times New Roman" w:hAnsi="Times New Roman" w:cs="Times New Roman"/>
          <w:sz w:val="28"/>
          <w:szCs w:val="28"/>
        </w:rPr>
        <w:t xml:space="preserve">ения емкости могут быть следующими: 1.0, 1.5, 2.2, 3.3, 4.7, 6.8 мкФ и так далее. Ряд Е6 имеет логарифмическую прогрессию, где каждое следующее значение в 1,5 раза больше предыдущего.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5" w:h="16837" w:orient="portrait"/>
      <w:pgMar w:top="1134" w:right="850" w:bottom="1134" w:left="1701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Times New Roman">
    <w:panose1 w:val="02020603050405020304"/>
  </w:font>
  <w:font w:name="F">
    <w:panose1 w:val="020B06030201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">
    <w:name w:val="Normal"/>
    <w:qFormat/>
  </w:style>
  <w:style w:type="paragraph" w:styleId="13">
    <w:name w:val="Heading 1"/>
    <w:basedOn w:val="10"/>
    <w:next w:val="1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10"/>
    <w:next w:val="1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10"/>
    <w:next w:val="1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0"/>
    <w:link w:val="618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0"/>
    <w:next w:val="1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"/>
    <w:next w:val="1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"/>
    <w:next w:val="1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"/>
    <w:next w:val="1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"/>
    <w:next w:val="1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10"/>
    <w:next w:val="1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10"/>
    <w:next w:val="1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10"/>
    <w:next w:val="1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0"/>
    <w:next w:val="1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1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1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character" w:styleId="47">
    <w:name w:val="Caption Char"/>
    <w:basedOn w:val="61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10"/>
    <w:next w:val="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10"/>
    <w:next w:val="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10"/>
    <w:next w:val="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10"/>
    <w:next w:val="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0"/>
    <w:next w:val="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0"/>
    <w:next w:val="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0"/>
    <w:next w:val="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0"/>
    <w:next w:val="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0"/>
    <w:next w:val="1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10"/>
    <w:next w:val="10"/>
    <w:uiPriority w:val="99"/>
    <w:unhideWhenUsed/>
    <w:pPr>
      <w:spacing w:after="0" w:afterAutospacing="0"/>
    </w:pPr>
  </w:style>
  <w:style w:type="paragraph" w:styleId="611" w:default="1">
    <w:name w:val="DStyle_paragraph"/>
    <w:rPr>
      <w:rFonts w:ascii="Calibri" w:hAnsi="Calibri" w:eastAsia="Calibri" w:cs="F"/>
      <w:color w:val="auto"/>
      <w:sz w:val="22"/>
      <w:szCs w:val="22"/>
      <w:lang w:val="ru-RU" w:eastAsia="en-US" w:bidi="ar-SA"/>
    </w:rPr>
  </w:style>
  <w:style w:type="paragraph" w:styleId="612" w:customStyle="1">
    <w:name w:val="Standard"/>
    <w:basedOn w:val="611"/>
    <w:pPr>
      <w:jc w:val="left"/>
      <w:spacing w:before="0" w:after="160" w:line="254" w:lineRule="auto"/>
      <w:widowControl/>
    </w:pPr>
  </w:style>
  <w:style w:type="paragraph" w:styleId="613" w:customStyle="1">
    <w:name w:val="Heading"/>
    <w:basedOn w:val="612"/>
    <w:next w:val="614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14" w:customStyle="1">
    <w:name w:val="Text body"/>
    <w:basedOn w:val="612"/>
    <w:qFormat/>
    <w:pPr>
      <w:spacing w:before="0" w:after="0" w:line="240" w:lineRule="auto"/>
      <w:widowControl w:val="off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615" w:customStyle="1">
    <w:name w:val="List"/>
    <w:basedOn w:val="614"/>
    <w:rPr>
      <w:rFonts w:cs="Lohit Devanagari"/>
    </w:rPr>
  </w:style>
  <w:style w:type="paragraph" w:styleId="616" w:customStyle="1">
    <w:name w:val="Caption"/>
    <w:basedOn w:val="612"/>
    <w:pPr>
      <w:spacing w:before="120" w:after="120"/>
    </w:pPr>
    <w:rPr>
      <w:rFonts w:cs="Lohit Devanagari"/>
      <w:i/>
      <w:iCs/>
      <w:sz w:val="24"/>
      <w:szCs w:val="24"/>
    </w:rPr>
  </w:style>
  <w:style w:type="paragraph" w:styleId="617" w:customStyle="1">
    <w:name w:val="Index"/>
    <w:basedOn w:val="612"/>
    <w:rPr>
      <w:rFonts w:cs="Lohit Devanagari"/>
    </w:rPr>
  </w:style>
  <w:style w:type="paragraph" w:styleId="618" w:customStyle="1">
    <w:name w:val="Heading 4"/>
    <w:basedOn w:val="612"/>
    <w:next w:val="612"/>
    <w:qFormat/>
    <w:pPr>
      <w:numPr>
        <w:ilvl w:val="0"/>
        <w:numId w:val="0"/>
      </w:numPr>
      <w:keepLines/>
      <w:keepNext/>
      <w:spacing w:before="40" w:after="0"/>
      <w:outlineLvl w:val="4"/>
    </w:pPr>
    <w:rPr>
      <w:rFonts w:ascii="Calibri Light" w:hAnsi="Calibri Light" w:eastAsia="F" w:cs="F"/>
      <w:i/>
      <w:iCs/>
      <w:color w:val="2e74b5"/>
    </w:rPr>
  </w:style>
  <w:style w:type="paragraph" w:styleId="619" w:customStyle="1">
    <w:name w:val="List Paragraph"/>
    <w:basedOn w:val="612"/>
    <w:qFormat/>
    <w:pPr>
      <w:ind w:left="720" w:right="0" w:firstLine="0"/>
      <w:spacing w:before="0" w:after="160"/>
    </w:pPr>
  </w:style>
  <w:style w:type="character" w:styleId="620" w:default="1" w:customStyle="1">
    <w:name w:val="Default Paragraph Font"/>
    <w:basedOn w:val="611"/>
    <w:qFormat/>
  </w:style>
  <w:style w:type="character" w:styleId="621" w:customStyle="1">
    <w:name w:val="Заголовок 4 Знак"/>
    <w:basedOn w:val="620"/>
    <w:qFormat/>
    <w:rPr>
      <w:rFonts w:ascii="Calibri Light" w:hAnsi="Calibri Light" w:eastAsia="F" w:cs="F"/>
      <w:i/>
      <w:iCs/>
      <w:color w:val="2e74b5"/>
    </w:rPr>
  </w:style>
  <w:style w:type="character" w:styleId="622" w:customStyle="1">
    <w:name w:val="Основной текст Знак"/>
    <w:basedOn w:val="620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623" w:customStyle="1">
    <w:name w:val="Internet link"/>
    <w:basedOn w:val="620"/>
    <w:qFormat/>
    <w:rPr>
      <w:color w:val="0000ff"/>
      <w:u w:val="single"/>
    </w:rPr>
  </w:style>
  <w:style w:type="character" w:styleId="624" w:customStyle="1">
    <w:name w:val="ppoyas_section"/>
    <w:basedOn w:val="620"/>
    <w:qFormat/>
  </w:style>
  <w:style w:type="character" w:styleId="625" w:customStyle="1">
    <w:name w:val="ppoyas_description"/>
    <w:basedOn w:val="620"/>
    <w:qFormat/>
  </w:style>
  <w:style w:type="character" w:styleId="626" w:customStyle="1">
    <w:name w:val="ListLabel 1"/>
    <w:basedOn w:val="611"/>
    <w:qFormat/>
  </w:style>
  <w:style w:type="character" w:styleId="627" w:customStyle="1">
    <w:name w:val="ListLabel 2"/>
    <w:basedOn w:val="611"/>
    <w:qFormat/>
  </w:style>
  <w:style w:type="character" w:styleId="628" w:customStyle="1">
    <w:name w:val="ListLabel 3"/>
    <w:basedOn w:val="611"/>
    <w:qFormat/>
  </w:style>
  <w:style w:type="character" w:styleId="629" w:customStyle="1">
    <w:name w:val="ListLabel 4"/>
    <w:basedOn w:val="611"/>
    <w:qFormat/>
  </w:style>
  <w:style w:type="character" w:styleId="630" w:customStyle="1">
    <w:name w:val="ListLabel 5"/>
    <w:basedOn w:val="611"/>
    <w:qFormat/>
  </w:style>
  <w:style w:type="character" w:styleId="631" w:customStyle="1">
    <w:name w:val="ListLabel 6"/>
    <w:basedOn w:val="611"/>
    <w:qFormat/>
  </w:style>
  <w:style w:type="character" w:styleId="632" w:customStyle="1">
    <w:name w:val="ListLabel 7"/>
    <w:basedOn w:val="611"/>
    <w:qFormat/>
  </w:style>
  <w:style w:type="character" w:styleId="633" w:customStyle="1">
    <w:name w:val="ListLabel 8"/>
    <w:basedOn w:val="611"/>
    <w:qFormat/>
  </w:style>
  <w:style w:type="character" w:styleId="634" w:customStyle="1">
    <w:name w:val="ListLabel 9"/>
    <w:basedOn w:val="611"/>
    <w:qFormat/>
  </w:style>
  <w:style w:type="character" w:styleId="635" w:customStyle="1">
    <w:name w:val="ListLabel 10"/>
    <w:basedOn w:val="611"/>
    <w:qFormat/>
  </w:style>
  <w:style w:type="character" w:styleId="636" w:customStyle="1">
    <w:name w:val="ListLabel 11"/>
    <w:basedOn w:val="611"/>
    <w:qFormat/>
  </w:style>
  <w:style w:type="character" w:styleId="637" w:customStyle="1">
    <w:name w:val="ListLabel 12"/>
    <w:basedOn w:val="611"/>
    <w:qFormat/>
  </w:style>
  <w:style w:type="character" w:styleId="638" w:customStyle="1">
    <w:name w:val="ListLabel 13"/>
    <w:basedOn w:val="611"/>
    <w:qFormat/>
  </w:style>
  <w:style w:type="character" w:styleId="639" w:customStyle="1">
    <w:name w:val="ListLabel 14"/>
    <w:basedOn w:val="611"/>
    <w:qFormat/>
  </w:style>
  <w:style w:type="character" w:styleId="640" w:customStyle="1">
    <w:name w:val="ListLabel 15"/>
    <w:basedOn w:val="611"/>
    <w:qFormat/>
  </w:style>
  <w:style w:type="character" w:styleId="641" w:customStyle="1">
    <w:name w:val="ListLabel 16"/>
    <w:basedOn w:val="611"/>
    <w:qFormat/>
  </w:style>
  <w:style w:type="character" w:styleId="642" w:customStyle="1">
    <w:name w:val="ListLabel 17"/>
    <w:basedOn w:val="611"/>
    <w:qFormat/>
  </w:style>
  <w:style w:type="character" w:styleId="643" w:customStyle="1">
    <w:name w:val="ListLabel 18"/>
    <w:basedOn w:val="611"/>
    <w:qFormat/>
  </w:style>
  <w:style w:type="character" w:styleId="644" w:customStyle="1">
    <w:name w:val="ListLabel 19"/>
    <w:basedOn w:val="611"/>
    <w:qFormat/>
  </w:style>
  <w:style w:type="character" w:styleId="645" w:customStyle="1">
    <w:name w:val="ListLabel 20"/>
    <w:basedOn w:val="611"/>
    <w:qFormat/>
  </w:style>
  <w:style w:type="character" w:styleId="646" w:customStyle="1">
    <w:name w:val="ListLabel 21"/>
    <w:basedOn w:val="611"/>
    <w:qFormat/>
  </w:style>
  <w:style w:type="character" w:styleId="647" w:customStyle="1">
    <w:name w:val="ListLabel 22"/>
    <w:basedOn w:val="611"/>
    <w:qFormat/>
  </w:style>
  <w:style w:type="character" w:styleId="648" w:customStyle="1">
    <w:name w:val="ListLabel 23"/>
    <w:basedOn w:val="611"/>
    <w:qFormat/>
  </w:style>
  <w:style w:type="character" w:styleId="649" w:customStyle="1">
    <w:name w:val="ListLabel 24"/>
    <w:basedOn w:val="611"/>
    <w:qFormat/>
  </w:style>
  <w:style w:type="character" w:styleId="650" w:customStyle="1">
    <w:name w:val="ListLabel 25"/>
    <w:basedOn w:val="611"/>
    <w:qFormat/>
  </w:style>
  <w:style w:type="character" w:styleId="651" w:customStyle="1">
    <w:name w:val="ListLabel 26"/>
    <w:basedOn w:val="611"/>
    <w:qFormat/>
  </w:style>
  <w:style w:type="character" w:styleId="652" w:customStyle="1">
    <w:name w:val="ListLabel 27"/>
    <w:basedOn w:val="611"/>
    <w:qFormat/>
  </w:style>
  <w:style w:type="character" w:styleId="653" w:customStyle="1">
    <w:name w:val="ListLabel 28"/>
    <w:basedOn w:val="611"/>
    <w:qFormat/>
  </w:style>
  <w:style w:type="character" w:styleId="654" w:customStyle="1">
    <w:name w:val="ListLabel 29"/>
    <w:basedOn w:val="611"/>
    <w:qFormat/>
  </w:style>
  <w:style w:type="character" w:styleId="655" w:customStyle="1">
    <w:name w:val="ListLabel 30"/>
    <w:basedOn w:val="611"/>
    <w:qFormat/>
  </w:style>
  <w:style w:type="character" w:styleId="656" w:customStyle="1">
    <w:name w:val="ListLabel 31"/>
    <w:basedOn w:val="611"/>
    <w:qFormat/>
  </w:style>
  <w:style w:type="character" w:styleId="657" w:customStyle="1">
    <w:name w:val="ListLabel 32"/>
    <w:basedOn w:val="611"/>
    <w:qFormat/>
  </w:style>
  <w:style w:type="character" w:styleId="658" w:customStyle="1">
    <w:name w:val="ListLabel 33"/>
    <w:basedOn w:val="611"/>
    <w:qFormat/>
  </w:style>
  <w:style w:type="character" w:styleId="659" w:customStyle="1">
    <w:name w:val="ListLabel 34"/>
    <w:basedOn w:val="611"/>
    <w:qFormat/>
  </w:style>
  <w:style w:type="character" w:styleId="660" w:customStyle="1">
    <w:name w:val="ListLabel 35"/>
    <w:basedOn w:val="611"/>
    <w:qFormat/>
  </w:style>
  <w:style w:type="character" w:styleId="661" w:customStyle="1">
    <w:name w:val="ListLabel 36"/>
    <w:basedOn w:val="611"/>
    <w:qFormat/>
  </w:style>
  <w:style w:type="character" w:styleId="662" w:customStyle="1">
    <w:name w:val="ListLabel 37"/>
    <w:basedOn w:val="611"/>
    <w:qFormat/>
  </w:style>
  <w:style w:type="character" w:styleId="663" w:customStyle="1">
    <w:name w:val="ListLabel 38"/>
    <w:basedOn w:val="611"/>
    <w:qFormat/>
  </w:style>
  <w:style w:type="character" w:styleId="664" w:customStyle="1">
    <w:name w:val="ListLabel 39"/>
    <w:basedOn w:val="611"/>
    <w:qFormat/>
  </w:style>
  <w:style w:type="character" w:styleId="665" w:customStyle="1">
    <w:name w:val="ListLabel 40"/>
    <w:basedOn w:val="611"/>
    <w:qFormat/>
  </w:style>
  <w:style w:type="character" w:styleId="666" w:customStyle="1">
    <w:name w:val="ListLabel 41"/>
    <w:basedOn w:val="611"/>
    <w:qFormat/>
  </w:style>
  <w:style w:type="character" w:styleId="667" w:customStyle="1">
    <w:name w:val="ListLabel 42"/>
    <w:basedOn w:val="611"/>
    <w:qFormat/>
  </w:style>
  <w:style w:type="character" w:styleId="668" w:customStyle="1">
    <w:name w:val="ListLabel 43"/>
    <w:basedOn w:val="611"/>
    <w:qFormat/>
  </w:style>
  <w:style w:type="character" w:styleId="669" w:customStyle="1">
    <w:name w:val="ListLabel 44"/>
    <w:basedOn w:val="611"/>
    <w:qFormat/>
  </w:style>
  <w:style w:type="character" w:styleId="670" w:customStyle="1">
    <w:name w:val="ListLabel 45"/>
    <w:basedOn w:val="611"/>
    <w:qFormat/>
  </w:style>
  <w:style w:type="numbering" w:styleId="1197" w:default="1">
    <w:name w:val="No List"/>
    <w:uiPriority w:val="99"/>
    <w:semiHidden/>
    <w:unhideWhenUsed/>
  </w:style>
  <w:style w:type="table" w:styleId="119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LibreOffice/7.3.7.2$Linux_X86_64 LibreOffice_project/30$Build-2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2023-03-01T16:56:00Z</dcterms:created>
  <dcterms:modified xsi:type="dcterms:W3CDTF">2023-05-24T12:01:21Z</dcterms:modified>
</cp:coreProperties>
</file>