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FE9F8" w14:textId="77777777" w:rsidR="00A4278E" w:rsidRDefault="00A4278E" w:rsidP="00A4278E">
      <w:pPr>
        <w:widowControl w:val="0"/>
        <w:autoSpaceDE w:val="0"/>
        <w:autoSpaceDN w:val="0"/>
        <w:adjustRightInd w:val="0"/>
        <w:spacing w:after="200" w:line="276" w:lineRule="auto"/>
        <w:jc w:val="center"/>
        <w:rPr>
          <w:rFonts w:ascii="Times New Roman" w:eastAsia="Times New Roman" w:hAnsi="Times New Roman" w:cs="Times New Roman"/>
          <w:b/>
          <w:bCs/>
        </w:rPr>
      </w:pPr>
      <w:r w:rsidRPr="00920F17">
        <w:rPr>
          <w:rFonts w:ascii="Times New Roman" w:eastAsia="Times New Roman" w:hAnsi="Times New Roman" w:cs="Times New Roman"/>
          <w:b/>
          <w:bCs/>
        </w:rPr>
        <w:t>Annotated Bibliography</w:t>
      </w:r>
    </w:p>
    <w:tbl>
      <w:tblPr>
        <w:tblStyle w:val="TableGrid"/>
        <w:tblW w:w="0" w:type="auto"/>
        <w:shd w:val="clear" w:color="auto" w:fill="FFC000"/>
        <w:tblLook w:val="04A0" w:firstRow="1" w:lastRow="0" w:firstColumn="1" w:lastColumn="0" w:noHBand="0" w:noVBand="1"/>
      </w:tblPr>
      <w:tblGrid>
        <w:gridCol w:w="9350"/>
      </w:tblGrid>
      <w:tr w:rsidR="00920F17" w14:paraId="7F9F854A" w14:textId="77777777" w:rsidTr="00920F17">
        <w:tc>
          <w:tcPr>
            <w:tcW w:w="9350" w:type="dxa"/>
            <w:shd w:val="clear" w:color="auto" w:fill="FFC000"/>
          </w:tcPr>
          <w:p w14:paraId="0F20FD3B" w14:textId="5F069034" w:rsidR="00920F17" w:rsidRPr="00920F17" w:rsidRDefault="00920F17" w:rsidP="00A4278E">
            <w:pPr>
              <w:widowControl w:val="0"/>
              <w:autoSpaceDE w:val="0"/>
              <w:autoSpaceDN w:val="0"/>
              <w:adjustRightInd w:val="0"/>
              <w:spacing w:after="200" w:line="276" w:lineRule="auto"/>
              <w:jc w:val="center"/>
              <w:rPr>
                <w:rFonts w:ascii="Times New Roman" w:eastAsia="Times New Roman" w:hAnsi="Times New Roman" w:cs="Times New Roman"/>
              </w:rPr>
            </w:pPr>
            <w:r w:rsidRPr="00920F17">
              <w:rPr>
                <w:rFonts w:ascii="Times New Roman" w:eastAsia="Times New Roman" w:hAnsi="Times New Roman" w:cs="Times New Roman"/>
              </w:rPr>
              <w:t>Needs to be revised for flow (cohesion) and APA formatting as well as assignment formatting</w:t>
            </w:r>
          </w:p>
        </w:tc>
      </w:tr>
    </w:tbl>
    <w:p w14:paraId="4A56EC47" w14:textId="77777777" w:rsidR="00920F17" w:rsidRPr="00920F17" w:rsidRDefault="00920F17" w:rsidP="00A4278E">
      <w:pPr>
        <w:widowControl w:val="0"/>
        <w:autoSpaceDE w:val="0"/>
        <w:autoSpaceDN w:val="0"/>
        <w:adjustRightInd w:val="0"/>
        <w:spacing w:after="200" w:line="276" w:lineRule="auto"/>
        <w:jc w:val="center"/>
        <w:rPr>
          <w:rFonts w:ascii="Times New Roman" w:eastAsia="Times New Roman" w:hAnsi="Times New Roman" w:cs="Times New Roman"/>
          <w:b/>
          <w:bCs/>
        </w:rPr>
      </w:pPr>
    </w:p>
    <w:p w14:paraId="79EFAF60" w14:textId="2A475879" w:rsidR="00A4278E" w:rsidRPr="004E616A" w:rsidRDefault="00A4278E" w:rsidP="00A4278E">
      <w:pPr>
        <w:widowControl w:val="0"/>
        <w:autoSpaceDE w:val="0"/>
        <w:autoSpaceDN w:val="0"/>
        <w:adjustRightInd w:val="0"/>
        <w:spacing w:line="276" w:lineRule="auto"/>
        <w:ind w:firstLine="720"/>
        <w:rPr>
          <w:rFonts w:ascii="Times New Roman" w:eastAsia="Times New Roman" w:hAnsi="Times New Roman" w:cs="Times New Roman"/>
        </w:rPr>
      </w:pPr>
      <w:r w:rsidRPr="004E616A">
        <w:rPr>
          <w:rFonts w:ascii="Times New Roman" w:eastAsia="Times New Roman" w:hAnsi="Times New Roman" w:cs="Times New Roman"/>
        </w:rPr>
        <w:t>This collection contains entries from three areas: literac</w:t>
      </w:r>
      <w:r>
        <w:rPr>
          <w:rFonts w:ascii="Times New Roman" w:eastAsia="Times New Roman" w:hAnsi="Times New Roman" w:cs="Times New Roman"/>
        </w:rPr>
        <w:t>ies, funds of knowledge and cognitive science</w:t>
      </w:r>
      <w:r w:rsidRPr="004E616A">
        <w:rPr>
          <w:rFonts w:ascii="Times New Roman" w:eastAsia="Times New Roman" w:hAnsi="Times New Roman" w:cs="Times New Roman"/>
        </w:rPr>
        <w:t xml:space="preserve">. Despite </w:t>
      </w:r>
      <w:r>
        <w:rPr>
          <w:rFonts w:ascii="Times New Roman" w:eastAsia="Times New Roman" w:hAnsi="Times New Roman" w:cs="Times New Roman"/>
        </w:rPr>
        <w:t>the</w:t>
      </w:r>
      <w:r w:rsidRPr="004E616A">
        <w:rPr>
          <w:rFonts w:ascii="Times New Roman" w:eastAsia="Times New Roman" w:hAnsi="Times New Roman" w:cs="Times New Roman"/>
        </w:rPr>
        <w:t xml:space="preserve"> differences</w:t>
      </w:r>
      <w:r>
        <w:rPr>
          <w:rFonts w:ascii="Times New Roman" w:eastAsia="Times New Roman" w:hAnsi="Times New Roman" w:cs="Times New Roman"/>
        </w:rPr>
        <w:t xml:space="preserve"> in the fields</w:t>
      </w:r>
      <w:r w:rsidRPr="004E616A">
        <w:rPr>
          <w:rFonts w:ascii="Times New Roman" w:eastAsia="Times New Roman" w:hAnsi="Times New Roman" w:cs="Times New Roman"/>
        </w:rPr>
        <w:t xml:space="preserve">, </w:t>
      </w:r>
      <w:r>
        <w:rPr>
          <w:rFonts w:ascii="Times New Roman" w:eastAsia="Times New Roman" w:hAnsi="Times New Roman" w:cs="Times New Roman"/>
        </w:rPr>
        <w:t xml:space="preserve">these articles share a common concern: </w:t>
      </w:r>
      <w:r w:rsidRPr="004E616A">
        <w:rPr>
          <w:rFonts w:ascii="Times New Roman" w:eastAsia="Times New Roman" w:hAnsi="Times New Roman" w:cs="Times New Roman"/>
        </w:rPr>
        <w:t>validating</w:t>
      </w:r>
      <w:r>
        <w:rPr>
          <w:rFonts w:ascii="Times New Roman" w:eastAsia="Times New Roman" w:hAnsi="Times New Roman" w:cs="Times New Roman"/>
        </w:rPr>
        <w:t xml:space="preserve"> students’ </w:t>
      </w:r>
      <w:r w:rsidRPr="004E616A">
        <w:rPr>
          <w:rFonts w:ascii="Times New Roman" w:eastAsia="Times New Roman" w:hAnsi="Times New Roman" w:cs="Times New Roman"/>
        </w:rPr>
        <w:t>outside-of-school knowledge</w:t>
      </w:r>
      <w:r>
        <w:rPr>
          <w:rFonts w:ascii="Times New Roman" w:eastAsia="Times New Roman" w:hAnsi="Times New Roman" w:cs="Times New Roman"/>
        </w:rPr>
        <w:t xml:space="preserve"> and using this validation to change pedagogical practices. </w:t>
      </w:r>
      <w:r w:rsidRPr="004E616A">
        <w:rPr>
          <w:rFonts w:ascii="Times New Roman" w:eastAsia="Times New Roman" w:hAnsi="Times New Roman" w:cs="Times New Roman"/>
        </w:rPr>
        <w:t>Literacies</w:t>
      </w:r>
      <w:r>
        <w:rPr>
          <w:rFonts w:ascii="Times New Roman" w:eastAsia="Times New Roman" w:hAnsi="Times New Roman" w:cs="Times New Roman"/>
        </w:rPr>
        <w:t xml:space="preserve"> theory argues</w:t>
      </w:r>
      <w:r w:rsidRPr="004E616A">
        <w:rPr>
          <w:rFonts w:ascii="Times New Roman" w:eastAsia="Times New Roman" w:hAnsi="Times New Roman" w:cs="Times New Roman"/>
        </w:rPr>
        <w:t xml:space="preserve"> that all literacies are contextual, none necessarily superior to another, and that </w:t>
      </w:r>
      <w:r>
        <w:rPr>
          <w:rFonts w:ascii="Times New Roman" w:eastAsia="Times New Roman" w:hAnsi="Times New Roman" w:cs="Times New Roman"/>
        </w:rPr>
        <w:t xml:space="preserve">a literacy’s </w:t>
      </w:r>
      <w:r w:rsidRPr="004E616A">
        <w:rPr>
          <w:rFonts w:ascii="Times New Roman" w:eastAsia="Times New Roman" w:hAnsi="Times New Roman" w:cs="Times New Roman"/>
        </w:rPr>
        <w:t>value itself depends upon context.</w:t>
      </w:r>
      <w:r>
        <w:rPr>
          <w:rFonts w:ascii="Times New Roman" w:eastAsia="Times New Roman" w:hAnsi="Times New Roman" w:cs="Times New Roman"/>
        </w:rPr>
        <w:t xml:space="preserve"> </w:t>
      </w:r>
      <w:proofErr w:type="gramStart"/>
      <w:r>
        <w:rPr>
          <w:rFonts w:ascii="Times New Roman" w:eastAsia="Times New Roman" w:hAnsi="Times New Roman" w:cs="Times New Roman"/>
        </w:rPr>
        <w:t>As a consequence</w:t>
      </w:r>
      <w:proofErr w:type="gramEnd"/>
      <w:r>
        <w:rPr>
          <w:rFonts w:ascii="Times New Roman" w:eastAsia="Times New Roman" w:hAnsi="Times New Roman" w:cs="Times New Roman"/>
        </w:rPr>
        <w:t>, l</w:t>
      </w:r>
      <w:r>
        <w:rPr>
          <w:rFonts w:ascii="Times New Roman" w:eastAsia="Times New Roman" w:hAnsi="Times New Roman" w:cs="Times New Roman"/>
        </w:rPr>
        <w:t>iteracies scholars advocate incorporating various literacies into the classroom.</w:t>
      </w:r>
      <w:r w:rsidRPr="004E616A">
        <w:rPr>
          <w:rFonts w:ascii="Times New Roman" w:eastAsia="Times New Roman" w:hAnsi="Times New Roman" w:cs="Times New Roman"/>
        </w:rPr>
        <w:t xml:space="preserve"> </w:t>
      </w:r>
      <w:r>
        <w:rPr>
          <w:rFonts w:ascii="Times New Roman" w:eastAsia="Times New Roman" w:hAnsi="Times New Roman" w:cs="Times New Roman"/>
        </w:rPr>
        <w:t>Similarly, f</w:t>
      </w:r>
      <w:r w:rsidRPr="004E616A">
        <w:rPr>
          <w:rFonts w:ascii="Times New Roman" w:eastAsia="Times New Roman" w:hAnsi="Times New Roman" w:cs="Times New Roman"/>
        </w:rPr>
        <w:t>unds of knowledge</w:t>
      </w:r>
      <w:r>
        <w:rPr>
          <w:rFonts w:ascii="Times New Roman" w:eastAsia="Times New Roman" w:hAnsi="Times New Roman" w:cs="Times New Roman"/>
        </w:rPr>
        <w:t xml:space="preserve"> scholars</w:t>
      </w:r>
      <w:r w:rsidRPr="004E616A">
        <w:rPr>
          <w:rFonts w:ascii="Times New Roman" w:eastAsia="Times New Roman" w:hAnsi="Times New Roman" w:cs="Times New Roman"/>
        </w:rPr>
        <w:t xml:space="preserve"> </w:t>
      </w:r>
      <w:r>
        <w:rPr>
          <w:rFonts w:ascii="Times New Roman" w:eastAsia="Times New Roman" w:hAnsi="Times New Roman" w:cs="Times New Roman"/>
        </w:rPr>
        <w:t>argue</w:t>
      </w:r>
      <w:r w:rsidRPr="004E616A">
        <w:rPr>
          <w:rFonts w:ascii="Times New Roman" w:eastAsia="Times New Roman" w:hAnsi="Times New Roman" w:cs="Times New Roman"/>
        </w:rPr>
        <w:t xml:space="preserve"> that </w:t>
      </w:r>
      <w:r>
        <w:rPr>
          <w:rFonts w:ascii="Times New Roman" w:eastAsia="Times New Roman" w:hAnsi="Times New Roman" w:cs="Times New Roman"/>
        </w:rPr>
        <w:t xml:space="preserve">the knowledge students gain from </w:t>
      </w:r>
      <w:r w:rsidRPr="004E616A">
        <w:rPr>
          <w:rFonts w:ascii="Times New Roman" w:eastAsia="Times New Roman" w:hAnsi="Times New Roman" w:cs="Times New Roman"/>
        </w:rPr>
        <w:t xml:space="preserve">their personal lives </w:t>
      </w:r>
      <w:r>
        <w:rPr>
          <w:rFonts w:ascii="Times New Roman" w:eastAsia="Times New Roman" w:hAnsi="Times New Roman" w:cs="Times New Roman"/>
        </w:rPr>
        <w:t xml:space="preserve">can </w:t>
      </w:r>
      <w:r w:rsidRPr="004E616A">
        <w:rPr>
          <w:rFonts w:ascii="Times New Roman" w:eastAsia="Times New Roman" w:hAnsi="Times New Roman" w:cs="Times New Roman"/>
        </w:rPr>
        <w:t xml:space="preserve">be used </w:t>
      </w:r>
      <w:proofErr w:type="gramStart"/>
      <w:r w:rsidRPr="004E616A">
        <w:rPr>
          <w:rFonts w:ascii="Times New Roman" w:eastAsia="Times New Roman" w:hAnsi="Times New Roman" w:cs="Times New Roman"/>
        </w:rPr>
        <w:t xml:space="preserve">as a </w:t>
      </w:r>
      <w:r>
        <w:rPr>
          <w:rFonts w:ascii="Times New Roman" w:eastAsia="Times New Roman" w:hAnsi="Times New Roman" w:cs="Times New Roman"/>
        </w:rPr>
        <w:t>way to</w:t>
      </w:r>
      <w:proofErr w:type="gramEnd"/>
      <w:r>
        <w:rPr>
          <w:rFonts w:ascii="Times New Roman" w:eastAsia="Times New Roman" w:hAnsi="Times New Roman" w:cs="Times New Roman"/>
        </w:rPr>
        <w:t xml:space="preserve"> connect</w:t>
      </w:r>
      <w:r w:rsidRPr="004E616A">
        <w:rPr>
          <w:rFonts w:ascii="Times New Roman" w:eastAsia="Times New Roman" w:hAnsi="Times New Roman" w:cs="Times New Roman"/>
        </w:rPr>
        <w:t xml:space="preserve"> </w:t>
      </w:r>
      <w:r>
        <w:rPr>
          <w:rFonts w:ascii="Times New Roman" w:eastAsia="Times New Roman" w:hAnsi="Times New Roman" w:cs="Times New Roman"/>
        </w:rPr>
        <w:t>students</w:t>
      </w:r>
      <w:r w:rsidRPr="004E616A">
        <w:rPr>
          <w:rFonts w:ascii="Times New Roman" w:eastAsia="Times New Roman" w:hAnsi="Times New Roman" w:cs="Times New Roman"/>
        </w:rPr>
        <w:t xml:space="preserve"> out-of-school knowledge </w:t>
      </w:r>
      <w:r>
        <w:rPr>
          <w:rFonts w:ascii="Times New Roman" w:eastAsia="Times New Roman" w:hAnsi="Times New Roman" w:cs="Times New Roman"/>
        </w:rPr>
        <w:t>to</w:t>
      </w:r>
      <w:r w:rsidRPr="004E616A">
        <w:rPr>
          <w:rFonts w:ascii="Times New Roman" w:eastAsia="Times New Roman" w:hAnsi="Times New Roman" w:cs="Times New Roman"/>
        </w:rPr>
        <w:t xml:space="preserve"> school knowledge, as well</w:t>
      </w:r>
      <w:r>
        <w:rPr>
          <w:rFonts w:ascii="Times New Roman" w:eastAsia="Times New Roman" w:hAnsi="Times New Roman" w:cs="Times New Roman"/>
        </w:rPr>
        <w:t xml:space="preserve"> as</w:t>
      </w:r>
      <w:r w:rsidRPr="004E616A">
        <w:rPr>
          <w:rFonts w:ascii="Times New Roman" w:eastAsia="Times New Roman" w:hAnsi="Times New Roman" w:cs="Times New Roman"/>
        </w:rPr>
        <w:t xml:space="preserve"> </w:t>
      </w:r>
      <w:r>
        <w:rPr>
          <w:rFonts w:ascii="Times New Roman" w:eastAsia="Times New Roman" w:hAnsi="Times New Roman" w:cs="Times New Roman"/>
        </w:rPr>
        <w:t>bridge</w:t>
      </w:r>
      <w:r w:rsidRPr="004E616A">
        <w:rPr>
          <w:rFonts w:ascii="Times New Roman" w:eastAsia="Times New Roman" w:hAnsi="Times New Roman" w:cs="Times New Roman"/>
        </w:rPr>
        <w:t xml:space="preserve"> their personal </w:t>
      </w:r>
      <w:r>
        <w:rPr>
          <w:rFonts w:ascii="Times New Roman" w:eastAsia="Times New Roman" w:hAnsi="Times New Roman" w:cs="Times New Roman"/>
        </w:rPr>
        <w:t>and</w:t>
      </w:r>
      <w:r w:rsidRPr="004E616A">
        <w:rPr>
          <w:rFonts w:ascii="Times New Roman" w:eastAsia="Times New Roman" w:hAnsi="Times New Roman" w:cs="Times New Roman"/>
        </w:rPr>
        <w:t xml:space="preserve"> school lives. Recent studies about writing and cognition strongly suggest that inexperienced writers be allowed to write about what they know </w:t>
      </w:r>
      <w:proofErr w:type="gramStart"/>
      <w:r w:rsidRPr="004E616A">
        <w:rPr>
          <w:rFonts w:ascii="Times New Roman" w:eastAsia="Times New Roman" w:hAnsi="Times New Roman" w:cs="Times New Roman"/>
        </w:rPr>
        <w:t>in order to</w:t>
      </w:r>
      <w:proofErr w:type="gramEnd"/>
      <w:r w:rsidRPr="004E616A">
        <w:rPr>
          <w:rFonts w:ascii="Times New Roman" w:eastAsia="Times New Roman" w:hAnsi="Times New Roman" w:cs="Times New Roman"/>
        </w:rPr>
        <w:t xml:space="preserve"> reduce </w:t>
      </w:r>
      <w:r>
        <w:rPr>
          <w:rFonts w:ascii="Times New Roman" w:eastAsia="Times New Roman" w:hAnsi="Times New Roman" w:cs="Times New Roman"/>
        </w:rPr>
        <w:t>their</w:t>
      </w:r>
      <w:r w:rsidRPr="004E616A">
        <w:rPr>
          <w:rFonts w:ascii="Times New Roman" w:eastAsia="Times New Roman" w:hAnsi="Times New Roman" w:cs="Times New Roman"/>
        </w:rPr>
        <w:t xml:space="preserve"> cognitive </w:t>
      </w:r>
      <w:r>
        <w:rPr>
          <w:rFonts w:ascii="Times New Roman" w:eastAsia="Times New Roman" w:hAnsi="Times New Roman" w:cs="Times New Roman"/>
        </w:rPr>
        <w:t>loads</w:t>
      </w:r>
      <w:r w:rsidRPr="004E616A">
        <w:rPr>
          <w:rFonts w:ascii="Times New Roman" w:eastAsia="Times New Roman" w:hAnsi="Times New Roman" w:cs="Times New Roman"/>
        </w:rPr>
        <w:t xml:space="preserve"> and to facilitate writing development. </w:t>
      </w:r>
      <w:r>
        <w:rPr>
          <w:rFonts w:ascii="Times New Roman" w:eastAsia="Times New Roman" w:hAnsi="Times New Roman" w:cs="Times New Roman"/>
        </w:rPr>
        <w:t xml:space="preserve">With this central concern for incorporating students’ practices and knowledge into the classroom, the works cited here support one another and imply that some reasonably simple changes to our pedagogy might have far-reaching benefits for our students. </w:t>
      </w:r>
    </w:p>
    <w:p w14:paraId="7B27DF5F" w14:textId="77777777" w:rsidR="00A4278E" w:rsidRDefault="00A4278E" w:rsidP="00A4278E">
      <w:pPr>
        <w:widowControl w:val="0"/>
        <w:tabs>
          <w:tab w:val="left" w:pos="7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33" w:hanging="733"/>
        <w:rPr>
          <w:rFonts w:ascii="Times New Roman" w:eastAsia="Times New Roman" w:hAnsi="Times New Roman" w:cs="Times New Roman"/>
        </w:rPr>
      </w:pPr>
    </w:p>
    <w:p w14:paraId="43B13620" w14:textId="201964ED" w:rsidR="00A4278E" w:rsidRPr="004E616A" w:rsidRDefault="00A4278E" w:rsidP="00A4278E">
      <w:pPr>
        <w:widowControl w:val="0"/>
        <w:tabs>
          <w:tab w:val="left" w:pos="7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33" w:hanging="733"/>
        <w:rPr>
          <w:rFonts w:ascii="Times New Roman" w:eastAsia="Times New Roman" w:hAnsi="Times New Roman" w:cs="Times New Roman"/>
        </w:rPr>
      </w:pPr>
      <w:r w:rsidRPr="004E616A">
        <w:rPr>
          <w:rFonts w:ascii="Times New Roman" w:eastAsia="Times New Roman" w:hAnsi="Times New Roman" w:cs="Times New Roman"/>
        </w:rPr>
        <w:t>Adler-</w:t>
      </w:r>
      <w:proofErr w:type="spellStart"/>
      <w:r w:rsidRPr="004E616A">
        <w:rPr>
          <w:rFonts w:ascii="Times New Roman" w:eastAsia="Times New Roman" w:hAnsi="Times New Roman" w:cs="Times New Roman"/>
        </w:rPr>
        <w:t>Kassner</w:t>
      </w:r>
      <w:proofErr w:type="spellEnd"/>
      <w:r w:rsidRPr="004E616A">
        <w:rPr>
          <w:rFonts w:ascii="Times New Roman" w:eastAsia="Times New Roman" w:hAnsi="Times New Roman" w:cs="Times New Roman"/>
        </w:rPr>
        <w:t xml:space="preserve">, </w:t>
      </w:r>
      <w:r>
        <w:rPr>
          <w:rFonts w:ascii="Times New Roman" w:eastAsia="Times New Roman" w:hAnsi="Times New Roman" w:cs="Times New Roman"/>
        </w:rPr>
        <w:t>L</w:t>
      </w:r>
      <w:r w:rsidRPr="004E616A">
        <w:rPr>
          <w:rFonts w:ascii="Times New Roman" w:eastAsia="Times New Roman" w:hAnsi="Times New Roman" w:cs="Times New Roman"/>
        </w:rPr>
        <w:t xml:space="preserve"> and Harrington</w:t>
      </w:r>
      <w:r>
        <w:rPr>
          <w:rFonts w:ascii="Times New Roman" w:eastAsia="Times New Roman" w:hAnsi="Times New Roman" w:cs="Times New Roman"/>
        </w:rPr>
        <w:t xml:space="preserve"> S</w:t>
      </w:r>
      <w:r w:rsidRPr="004E616A">
        <w:rPr>
          <w:rFonts w:ascii="Times New Roman" w:eastAsia="Times New Roman" w:hAnsi="Times New Roman" w:cs="Times New Roman"/>
        </w:rPr>
        <w:t xml:space="preserve">. </w:t>
      </w:r>
      <w:r>
        <w:rPr>
          <w:rFonts w:ascii="Times New Roman" w:eastAsia="Times New Roman" w:hAnsi="Times New Roman" w:cs="Times New Roman"/>
        </w:rPr>
        <w:t xml:space="preserve">(2006) </w:t>
      </w:r>
      <w:r w:rsidRPr="004E616A">
        <w:rPr>
          <w:rFonts w:ascii="Times New Roman" w:eastAsia="Times New Roman" w:hAnsi="Times New Roman" w:cs="Times New Roman"/>
          <w:i/>
          <w:iCs/>
        </w:rPr>
        <w:t>Basic Writing as a Political Act: Public Conversations about Writing and Literacies</w:t>
      </w:r>
      <w:r w:rsidRPr="004E616A">
        <w:rPr>
          <w:rFonts w:ascii="Times New Roman" w:eastAsia="Times New Roman" w:hAnsi="Times New Roman" w:cs="Times New Roman"/>
        </w:rPr>
        <w:t>. Research in the Teaching of Rhetoric and Composition. Cresskill, NJ: Hampton,</w:t>
      </w:r>
    </w:p>
    <w:p w14:paraId="007631C9" w14:textId="0EE669F8" w:rsidR="00A4278E" w:rsidRPr="004E616A" w:rsidRDefault="00A4278E" w:rsidP="00A4278E">
      <w:pPr>
        <w:widowControl w:val="0"/>
        <w:tabs>
          <w:tab w:val="left" w:pos="7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19" w:firstLine="11"/>
        <w:rPr>
          <w:rFonts w:ascii="Times New Roman" w:eastAsia="Times New Roman" w:hAnsi="Times New Roman" w:cs="Times New Roman"/>
        </w:rPr>
      </w:pPr>
      <w:r w:rsidRPr="004E616A">
        <w:rPr>
          <w:rFonts w:ascii="Times New Roman" w:eastAsia="Times New Roman" w:hAnsi="Times New Roman" w:cs="Times New Roman"/>
        </w:rPr>
        <w:t>Adler-</w:t>
      </w:r>
      <w:proofErr w:type="spellStart"/>
      <w:r w:rsidRPr="004E616A">
        <w:rPr>
          <w:rFonts w:ascii="Times New Roman" w:eastAsia="Times New Roman" w:hAnsi="Times New Roman" w:cs="Times New Roman"/>
        </w:rPr>
        <w:t>Kassner</w:t>
      </w:r>
      <w:proofErr w:type="spellEnd"/>
      <w:r w:rsidRPr="004E616A">
        <w:rPr>
          <w:rFonts w:ascii="Times New Roman" w:eastAsia="Times New Roman" w:hAnsi="Times New Roman" w:cs="Times New Roman"/>
        </w:rPr>
        <w:t xml:space="preserve"> and Harri</w:t>
      </w:r>
      <w:r w:rsidR="00FB4D08">
        <w:rPr>
          <w:rFonts w:ascii="Times New Roman" w:eastAsia="Times New Roman" w:hAnsi="Times New Roman" w:cs="Times New Roman"/>
        </w:rPr>
        <w:t>ng</w:t>
      </w:r>
      <w:r w:rsidRPr="004E616A">
        <w:rPr>
          <w:rFonts w:ascii="Times New Roman" w:eastAsia="Times New Roman" w:hAnsi="Times New Roman" w:cs="Times New Roman"/>
        </w:rPr>
        <w:t xml:space="preserve">ton investigate how basic writing and literacy are perceived by the media, the university, and students.  A central concern of the book is how the autonomous model of literacy plays out in the public sphere and contributes to the political nature of basic writing. The authors argue that basic writing is already political because of its negative reputation and because it marginalizes and stigmatizes students.  </w:t>
      </w:r>
      <w:r w:rsidR="00FB4D08">
        <w:rPr>
          <w:rFonts w:ascii="Times New Roman" w:eastAsia="Times New Roman" w:hAnsi="Times New Roman" w:cs="Times New Roman"/>
        </w:rPr>
        <w:t xml:space="preserve">One solution is to make </w:t>
      </w:r>
      <w:r w:rsidR="00920F17">
        <w:rPr>
          <w:rFonts w:ascii="Times New Roman" w:eastAsia="Times New Roman" w:hAnsi="Times New Roman" w:cs="Times New Roman"/>
        </w:rPr>
        <w:t>basic writing</w:t>
      </w:r>
      <w:r w:rsidRPr="004E616A">
        <w:rPr>
          <w:rFonts w:ascii="Times New Roman" w:eastAsia="Times New Roman" w:hAnsi="Times New Roman" w:cs="Times New Roman"/>
        </w:rPr>
        <w:t xml:space="preserve"> a political act by </w:t>
      </w:r>
      <w:r w:rsidR="00FB4D08">
        <w:rPr>
          <w:rFonts w:ascii="Times New Roman" w:eastAsia="Times New Roman" w:hAnsi="Times New Roman" w:cs="Times New Roman"/>
        </w:rPr>
        <w:t xml:space="preserve">increasing </w:t>
      </w:r>
      <w:r w:rsidRPr="004E616A">
        <w:rPr>
          <w:rFonts w:ascii="Times New Roman" w:eastAsia="Times New Roman" w:hAnsi="Times New Roman" w:cs="Times New Roman"/>
        </w:rPr>
        <w:t>students</w:t>
      </w:r>
      <w:r w:rsidR="00FB4D08">
        <w:rPr>
          <w:rFonts w:ascii="Times New Roman" w:eastAsia="Times New Roman" w:hAnsi="Times New Roman" w:cs="Times New Roman"/>
        </w:rPr>
        <w:t>’</w:t>
      </w:r>
      <w:r w:rsidRPr="004E616A">
        <w:rPr>
          <w:rFonts w:ascii="Times New Roman" w:eastAsia="Times New Roman" w:hAnsi="Times New Roman" w:cs="Times New Roman"/>
        </w:rPr>
        <w:t xml:space="preserve"> </w:t>
      </w:r>
      <w:r w:rsidR="00FB4D08" w:rsidRPr="004E616A">
        <w:rPr>
          <w:rFonts w:ascii="Times New Roman" w:eastAsia="Times New Roman" w:hAnsi="Times New Roman" w:cs="Times New Roman"/>
        </w:rPr>
        <w:t>awareness</w:t>
      </w:r>
      <w:r w:rsidRPr="004E616A">
        <w:rPr>
          <w:rFonts w:ascii="Times New Roman" w:eastAsia="Times New Roman" w:hAnsi="Times New Roman" w:cs="Times New Roman"/>
        </w:rPr>
        <w:t xml:space="preserve"> of various literacies and the issues of power and hegemony in dominant literacies. While they refrain from offering a specific curriculum, stating that to do so would be against the spirit of their book, the authors do offer advice as to how one can make basic writing a political act: by “Putting literacy definitions in the center of the curriculum” (102). </w:t>
      </w:r>
      <w:r w:rsidR="00920F17">
        <w:rPr>
          <w:rFonts w:ascii="Times New Roman" w:eastAsia="Times New Roman" w:hAnsi="Times New Roman" w:cs="Times New Roman"/>
        </w:rPr>
        <w:t xml:space="preserve">In addition, they </w:t>
      </w:r>
      <w:r w:rsidRPr="004E616A">
        <w:rPr>
          <w:rFonts w:ascii="Times New Roman" w:eastAsia="Times New Roman" w:hAnsi="Times New Roman" w:cs="Times New Roman"/>
        </w:rPr>
        <w:t xml:space="preserve">propose the development of students’ </w:t>
      </w:r>
      <w:r w:rsidR="00FB4D08">
        <w:rPr>
          <w:rFonts w:ascii="Times New Roman" w:eastAsia="Times New Roman" w:hAnsi="Times New Roman" w:cs="Times New Roman"/>
        </w:rPr>
        <w:t xml:space="preserve">transitional literacies, </w:t>
      </w:r>
      <w:r w:rsidRPr="004E616A">
        <w:rPr>
          <w:rFonts w:ascii="Times New Roman" w:eastAsia="Times New Roman" w:hAnsi="Times New Roman" w:cs="Times New Roman"/>
        </w:rPr>
        <w:t>the ability to produce appropriate texts under a variety of contexts.  Resonant chapters include the final one, which suggests ways to make basic writing a political act, and two central ones that examine students’ perceptions of academic writing and reading versus the writing and reading they do for themselves.</w:t>
      </w:r>
    </w:p>
    <w:p w14:paraId="5382436D" w14:textId="124194E9" w:rsidR="00A4278E" w:rsidRDefault="00A4278E" w:rsidP="00FB4D08">
      <w:pPr>
        <w:widowControl w:val="0"/>
        <w:tabs>
          <w:tab w:val="left" w:pos="7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33" w:hanging="733"/>
        <w:rPr>
          <w:rFonts w:ascii="Times New Roman" w:eastAsia="Times New Roman" w:hAnsi="Times New Roman" w:cs="Times New Roman"/>
        </w:rPr>
      </w:pPr>
      <w:r w:rsidRPr="004E616A">
        <w:rPr>
          <w:rFonts w:ascii="Times New Roman" w:eastAsia="Times New Roman" w:hAnsi="Times New Roman" w:cs="Times New Roman"/>
        </w:rPr>
        <w:t>Alexander, J</w:t>
      </w:r>
      <w:r>
        <w:rPr>
          <w:rFonts w:ascii="Times New Roman" w:eastAsia="Times New Roman" w:hAnsi="Times New Roman" w:cs="Times New Roman"/>
        </w:rPr>
        <w:t xml:space="preserve">. </w:t>
      </w:r>
      <w:r w:rsidRPr="004E616A">
        <w:rPr>
          <w:rFonts w:ascii="Times New Roman" w:eastAsia="Times New Roman" w:hAnsi="Times New Roman" w:cs="Times New Roman"/>
        </w:rPr>
        <w:t>(2009)</w:t>
      </w:r>
      <w:r>
        <w:rPr>
          <w:rFonts w:ascii="Times New Roman" w:eastAsia="Times New Roman" w:hAnsi="Times New Roman" w:cs="Times New Roman"/>
        </w:rPr>
        <w:t>.</w:t>
      </w:r>
      <w:r w:rsidRPr="004E616A">
        <w:rPr>
          <w:rFonts w:ascii="Times New Roman" w:eastAsia="Times New Roman" w:hAnsi="Times New Roman" w:cs="Times New Roman"/>
        </w:rPr>
        <w:t xml:space="preserve"> Gaming, </w:t>
      </w:r>
      <w:r>
        <w:rPr>
          <w:rFonts w:ascii="Times New Roman" w:eastAsia="Times New Roman" w:hAnsi="Times New Roman" w:cs="Times New Roman"/>
        </w:rPr>
        <w:t>s</w:t>
      </w:r>
      <w:r w:rsidRPr="004E616A">
        <w:rPr>
          <w:rFonts w:ascii="Times New Roman" w:eastAsia="Times New Roman" w:hAnsi="Times New Roman" w:cs="Times New Roman"/>
        </w:rPr>
        <w:t xml:space="preserve">tudent </w:t>
      </w:r>
      <w:r>
        <w:rPr>
          <w:rFonts w:ascii="Times New Roman" w:eastAsia="Times New Roman" w:hAnsi="Times New Roman" w:cs="Times New Roman"/>
        </w:rPr>
        <w:t>l</w:t>
      </w:r>
      <w:r w:rsidRPr="004E616A">
        <w:rPr>
          <w:rFonts w:ascii="Times New Roman" w:eastAsia="Times New Roman" w:hAnsi="Times New Roman" w:cs="Times New Roman"/>
        </w:rPr>
        <w:t xml:space="preserve">iteracies, and the </w:t>
      </w:r>
      <w:r>
        <w:rPr>
          <w:rFonts w:ascii="Times New Roman" w:eastAsia="Times New Roman" w:hAnsi="Times New Roman" w:cs="Times New Roman"/>
        </w:rPr>
        <w:t>c</w:t>
      </w:r>
      <w:r w:rsidRPr="004E616A">
        <w:rPr>
          <w:rFonts w:ascii="Times New Roman" w:eastAsia="Times New Roman" w:hAnsi="Times New Roman" w:cs="Times New Roman"/>
        </w:rPr>
        <w:t xml:space="preserve">omposition </w:t>
      </w:r>
      <w:r>
        <w:rPr>
          <w:rFonts w:ascii="Times New Roman" w:eastAsia="Times New Roman" w:hAnsi="Times New Roman" w:cs="Times New Roman"/>
        </w:rPr>
        <w:t>c</w:t>
      </w:r>
      <w:r w:rsidRPr="004E616A">
        <w:rPr>
          <w:rFonts w:ascii="Times New Roman" w:eastAsia="Times New Roman" w:hAnsi="Times New Roman" w:cs="Times New Roman"/>
        </w:rPr>
        <w:t xml:space="preserve">lassroom: Some </w:t>
      </w:r>
      <w:r>
        <w:rPr>
          <w:rFonts w:ascii="Times New Roman" w:eastAsia="Times New Roman" w:hAnsi="Times New Roman" w:cs="Times New Roman"/>
        </w:rPr>
        <w:t>p</w:t>
      </w:r>
      <w:r w:rsidRPr="004E616A">
        <w:rPr>
          <w:rFonts w:ascii="Times New Roman" w:eastAsia="Times New Roman" w:hAnsi="Times New Roman" w:cs="Times New Roman"/>
        </w:rPr>
        <w:t xml:space="preserve">ossibilities for </w:t>
      </w:r>
      <w:r>
        <w:rPr>
          <w:rFonts w:ascii="Times New Roman" w:eastAsia="Times New Roman" w:hAnsi="Times New Roman" w:cs="Times New Roman"/>
        </w:rPr>
        <w:t>t</w:t>
      </w:r>
      <w:r w:rsidRPr="004E616A">
        <w:rPr>
          <w:rFonts w:ascii="Times New Roman" w:eastAsia="Times New Roman" w:hAnsi="Times New Roman" w:cs="Times New Roman"/>
        </w:rPr>
        <w:t xml:space="preserve">ransformation.” </w:t>
      </w:r>
      <w:r w:rsidRPr="004E616A">
        <w:rPr>
          <w:rFonts w:ascii="Times New Roman" w:eastAsia="Times New Roman" w:hAnsi="Times New Roman" w:cs="Times New Roman"/>
          <w:i/>
          <w:iCs/>
        </w:rPr>
        <w:t>College Composition and Communication</w:t>
      </w:r>
      <w:r>
        <w:rPr>
          <w:rFonts w:ascii="Times New Roman" w:eastAsia="Times New Roman" w:hAnsi="Times New Roman" w:cs="Times New Roman"/>
          <w:i/>
          <w:iCs/>
        </w:rPr>
        <w:t>,</w:t>
      </w:r>
      <w:r w:rsidRPr="004E616A">
        <w:rPr>
          <w:rFonts w:ascii="Times New Roman" w:eastAsia="Times New Roman" w:hAnsi="Times New Roman" w:cs="Times New Roman"/>
        </w:rPr>
        <w:t xml:space="preserve"> </w:t>
      </w:r>
      <w:r w:rsidRPr="00A4278E">
        <w:rPr>
          <w:rFonts w:ascii="Times New Roman" w:eastAsia="Times New Roman" w:hAnsi="Times New Roman" w:cs="Times New Roman"/>
          <w:i/>
          <w:iCs/>
        </w:rPr>
        <w:t>61</w:t>
      </w:r>
      <w:r>
        <w:rPr>
          <w:rFonts w:ascii="Times New Roman" w:eastAsia="Times New Roman" w:hAnsi="Times New Roman" w:cs="Times New Roman"/>
        </w:rPr>
        <w:t xml:space="preserve"> (</w:t>
      </w:r>
      <w:r w:rsidRPr="00A4278E">
        <w:rPr>
          <w:rFonts w:ascii="Times New Roman" w:eastAsia="Times New Roman" w:hAnsi="Times New Roman" w:cs="Times New Roman"/>
        </w:rPr>
        <w:t>1</w:t>
      </w:r>
      <w:r>
        <w:rPr>
          <w:rFonts w:ascii="Times New Roman" w:eastAsia="Times New Roman" w:hAnsi="Times New Roman" w:cs="Times New Roman"/>
        </w:rPr>
        <w:t>)</w:t>
      </w:r>
      <w:r w:rsidRPr="004E616A">
        <w:rPr>
          <w:rFonts w:ascii="Times New Roman" w:eastAsia="Times New Roman" w:hAnsi="Times New Roman" w:cs="Times New Roman"/>
        </w:rPr>
        <w:t xml:space="preserve"> 35-63. </w:t>
      </w:r>
    </w:p>
    <w:p w14:paraId="025DC21E" w14:textId="75C3E905" w:rsidR="00A4278E" w:rsidRPr="004E616A" w:rsidRDefault="00A4278E" w:rsidP="00A4278E">
      <w:pPr>
        <w:widowControl w:val="0"/>
        <w:autoSpaceDE w:val="0"/>
        <w:autoSpaceDN w:val="0"/>
        <w:adjustRightInd w:val="0"/>
        <w:spacing w:line="276" w:lineRule="auto"/>
        <w:ind w:left="734"/>
        <w:rPr>
          <w:rFonts w:ascii="Times New Roman" w:eastAsia="Times New Roman" w:hAnsi="Times New Roman" w:cs="Times New Roman"/>
        </w:rPr>
      </w:pPr>
      <w:r w:rsidRPr="004E616A">
        <w:rPr>
          <w:rFonts w:ascii="Times New Roman" w:eastAsia="Times New Roman" w:hAnsi="Times New Roman" w:cs="Times New Roman"/>
        </w:rPr>
        <w:t xml:space="preserve">According to the author, the world of video and computer games demands a variety of </w:t>
      </w:r>
      <w:r w:rsidRPr="004E616A">
        <w:rPr>
          <w:rFonts w:ascii="Times New Roman" w:eastAsia="Times New Roman" w:hAnsi="Times New Roman" w:cs="Times New Roman"/>
        </w:rPr>
        <w:lastRenderedPageBreak/>
        <w:t>literacy strategies from its adherents. For instance, during the playing of games,</w:t>
      </w:r>
      <w:r>
        <w:rPr>
          <w:rFonts w:ascii="Times New Roman" w:eastAsia="Times New Roman" w:hAnsi="Times New Roman" w:cs="Times New Roman"/>
        </w:rPr>
        <w:t xml:space="preserve"> offline</w:t>
      </w:r>
      <w:r w:rsidRPr="004E616A">
        <w:rPr>
          <w:rFonts w:ascii="Times New Roman" w:eastAsia="Times New Roman" w:hAnsi="Times New Roman" w:cs="Times New Roman"/>
        </w:rPr>
        <w:t xml:space="preserve"> gamers must often deal with text, determining which text is most relevant; online gamers use instant messages and other textual means to plan attacks, often writing </w:t>
      </w:r>
      <w:proofErr w:type="gramStart"/>
      <w:r w:rsidRPr="004E616A">
        <w:rPr>
          <w:rFonts w:ascii="Times New Roman" w:eastAsia="Times New Roman" w:hAnsi="Times New Roman" w:cs="Times New Roman"/>
        </w:rPr>
        <w:t>1,000 word</w:t>
      </w:r>
      <w:proofErr w:type="gramEnd"/>
      <w:r w:rsidRPr="004E616A">
        <w:rPr>
          <w:rFonts w:ascii="Times New Roman" w:eastAsia="Times New Roman" w:hAnsi="Times New Roman" w:cs="Times New Roman"/>
        </w:rPr>
        <w:t xml:space="preserve"> essays justifying certain strategies. Websites devoted to gamers often demand that their members make weekly contributions to community forums as well as follow standards of grammar and behavior. According to Alexander, gamers also develop trans-literacies, “literacy and rhetorical skills [that] might transfer to other writing environments.”  The author’s proposal to center a composition class around gaming and gaming literacies might seem a superficial approach and certainly would not appeal to everyone. Alexander, however, claims that his assignments closely parallel traditional composition assignments, making use of research, interviews, scholarly sources, and critical literacy. Teachers unfamiliar with gaming might </w:t>
      </w:r>
      <w:proofErr w:type="gramStart"/>
      <w:r w:rsidRPr="004E616A">
        <w:rPr>
          <w:rFonts w:ascii="Times New Roman" w:eastAsia="Times New Roman" w:hAnsi="Times New Roman" w:cs="Times New Roman"/>
        </w:rPr>
        <w:t>actually be</w:t>
      </w:r>
      <w:proofErr w:type="gramEnd"/>
      <w:r w:rsidRPr="004E616A">
        <w:rPr>
          <w:rFonts w:ascii="Times New Roman" w:eastAsia="Times New Roman" w:hAnsi="Times New Roman" w:cs="Times New Roman"/>
        </w:rPr>
        <w:t xml:space="preserve"> at an advantage, according to Alexander, for they could learn along with the students, showing the students how a “master learner” approaches new literacies, while sharing their knowledge of rhetorical strategies. </w:t>
      </w:r>
      <w:r>
        <w:rPr>
          <w:rFonts w:ascii="Times New Roman" w:eastAsia="Times New Roman" w:hAnsi="Times New Roman" w:cs="Times New Roman"/>
        </w:rPr>
        <w:t>W</w:t>
      </w:r>
      <w:r w:rsidRPr="004E616A">
        <w:rPr>
          <w:rFonts w:ascii="Times New Roman" w:eastAsia="Times New Roman" w:hAnsi="Times New Roman" w:cs="Times New Roman"/>
        </w:rPr>
        <w:t>hile he never refers to Paulo Freire or his terminology, Alexander presents a good example of teacher-student co-investigation. He does not offer a satisfactory answer as to the weaknesses of the approach, such as what students would be missing by his curriculum.</w:t>
      </w:r>
    </w:p>
    <w:p w14:paraId="6A54E322" w14:textId="0D2D33C7" w:rsidR="00A4278E" w:rsidRDefault="00A4278E" w:rsidP="00FB4D08">
      <w:pPr>
        <w:widowControl w:val="0"/>
        <w:tabs>
          <w:tab w:val="left" w:pos="7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33" w:hanging="733"/>
        <w:rPr>
          <w:rFonts w:ascii="Times New Roman" w:eastAsia="Times New Roman" w:hAnsi="Times New Roman" w:cs="Times New Roman"/>
        </w:rPr>
      </w:pPr>
      <w:r w:rsidRPr="004E616A">
        <w:rPr>
          <w:rFonts w:ascii="Times New Roman" w:eastAsia="Times New Roman" w:hAnsi="Times New Roman" w:cs="Times New Roman"/>
        </w:rPr>
        <w:t xml:space="preserve">Barton, Angela Calabrese, and Edna Tan. Funds of Knowledge and Discourses and Hybrid Space. </w:t>
      </w:r>
      <w:r w:rsidRPr="004E616A">
        <w:rPr>
          <w:rFonts w:ascii="Times New Roman" w:eastAsia="Times New Roman" w:hAnsi="Times New Roman" w:cs="Times New Roman"/>
          <w:i/>
          <w:iCs/>
        </w:rPr>
        <w:t>Journal of Research in Science Teaching</w:t>
      </w:r>
      <w:r w:rsidRPr="004E616A">
        <w:rPr>
          <w:rFonts w:ascii="Times New Roman" w:eastAsia="Times New Roman" w:hAnsi="Times New Roman" w:cs="Times New Roman"/>
        </w:rPr>
        <w:t>, 46 (2009): 50 – 73.</w:t>
      </w:r>
    </w:p>
    <w:p w14:paraId="4DD784FB" w14:textId="200281AD" w:rsidR="00A4278E" w:rsidRPr="004E616A" w:rsidRDefault="00A4278E" w:rsidP="00A4278E">
      <w:pPr>
        <w:widowControl w:val="0"/>
        <w:tabs>
          <w:tab w:val="left" w:pos="7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19" w:firstLine="11"/>
        <w:rPr>
          <w:rFonts w:ascii="Times New Roman" w:eastAsia="Times New Roman" w:hAnsi="Times New Roman" w:cs="Times New Roman"/>
        </w:rPr>
      </w:pPr>
      <w:r w:rsidRPr="004E616A">
        <w:rPr>
          <w:rFonts w:ascii="Times New Roman" w:eastAsia="Times New Roman" w:hAnsi="Times New Roman" w:cs="Times New Roman"/>
        </w:rPr>
        <w:t xml:space="preserve">The authors rely extensively on Gee’s Discourse theory and their take on Moje at </w:t>
      </w:r>
      <w:proofErr w:type="spellStart"/>
      <w:proofErr w:type="gramStart"/>
      <w:r w:rsidRPr="004E616A">
        <w:rPr>
          <w:rFonts w:ascii="Times New Roman" w:eastAsia="Times New Roman" w:hAnsi="Times New Roman" w:cs="Times New Roman"/>
        </w:rPr>
        <w:t>al’s</w:t>
      </w:r>
      <w:proofErr w:type="spellEnd"/>
      <w:r w:rsidRPr="004E616A">
        <w:rPr>
          <w:rFonts w:ascii="Times New Roman" w:eastAsia="Times New Roman" w:hAnsi="Times New Roman" w:cs="Times New Roman"/>
        </w:rPr>
        <w:t xml:space="preserve">  Hybrid</w:t>
      </w:r>
      <w:proofErr w:type="gramEnd"/>
      <w:r w:rsidRPr="004E616A">
        <w:rPr>
          <w:rFonts w:ascii="Times New Roman" w:eastAsia="Times New Roman" w:hAnsi="Times New Roman" w:cs="Times New Roman"/>
        </w:rPr>
        <w:t>/3rd Space theory  (itself a combination of Discourse theory and funds of knowledge) to conduct a study of 6th grade science students in a Title 1 school. The authors claim that, because science is such a different Discourse for minorities, many students find</w:t>
      </w:r>
      <w:r w:rsidR="00920F17">
        <w:rPr>
          <w:rFonts w:ascii="Times New Roman" w:eastAsia="Times New Roman" w:hAnsi="Times New Roman" w:cs="Times New Roman"/>
        </w:rPr>
        <w:t xml:space="preserve"> that</w:t>
      </w:r>
      <w:r w:rsidRPr="004E616A">
        <w:rPr>
          <w:rFonts w:ascii="Times New Roman" w:eastAsia="Times New Roman" w:hAnsi="Times New Roman" w:cs="Times New Roman"/>
        </w:rPr>
        <w:t xml:space="preserve"> the science classroom is as much about crossing borders as it is about learning content. According to the authors, valuing students’ funds of knowledge can be a way of transitioning them into the classroom. The authors were particularly interested in the effects of certain pedagogical strategies</w:t>
      </w:r>
      <w:r>
        <w:rPr>
          <w:rFonts w:ascii="Times New Roman" w:eastAsia="Times New Roman" w:hAnsi="Times New Roman" w:cs="Times New Roman"/>
        </w:rPr>
        <w:t>—</w:t>
      </w:r>
      <w:r w:rsidRPr="004E616A">
        <w:rPr>
          <w:rFonts w:ascii="Times New Roman" w:eastAsia="Times New Roman" w:hAnsi="Times New Roman" w:cs="Times New Roman"/>
        </w:rPr>
        <w:t>which they never identify</w:t>
      </w:r>
      <w:r>
        <w:rPr>
          <w:rFonts w:ascii="Times New Roman" w:eastAsia="Times New Roman" w:hAnsi="Times New Roman" w:cs="Times New Roman"/>
        </w:rPr>
        <w:t>—</w:t>
      </w:r>
      <w:r w:rsidRPr="004E616A">
        <w:rPr>
          <w:rFonts w:ascii="Times New Roman" w:eastAsia="Times New Roman" w:hAnsi="Times New Roman" w:cs="Times New Roman"/>
        </w:rPr>
        <w:t xml:space="preserve">on female students. </w:t>
      </w:r>
      <w:r w:rsidR="00FB4D08">
        <w:rPr>
          <w:rFonts w:ascii="Times New Roman" w:eastAsia="Times New Roman" w:hAnsi="Times New Roman" w:cs="Times New Roman"/>
        </w:rPr>
        <w:t xml:space="preserve">During the design phases of </w:t>
      </w:r>
      <w:r w:rsidR="00920F17">
        <w:rPr>
          <w:rFonts w:ascii="Times New Roman" w:eastAsia="Times New Roman" w:hAnsi="Times New Roman" w:cs="Times New Roman"/>
        </w:rPr>
        <w:t>an alternative</w:t>
      </w:r>
      <w:r w:rsidR="00FB4D08">
        <w:rPr>
          <w:rFonts w:ascii="Times New Roman" w:eastAsia="Times New Roman" w:hAnsi="Times New Roman" w:cs="Times New Roman"/>
        </w:rPr>
        <w:t xml:space="preserve"> pedagogical unit, they</w:t>
      </w:r>
      <w:r w:rsidRPr="004E616A">
        <w:rPr>
          <w:rFonts w:ascii="Times New Roman" w:eastAsia="Times New Roman" w:hAnsi="Times New Roman" w:cs="Times New Roman"/>
        </w:rPr>
        <w:t xml:space="preserve"> and </w:t>
      </w:r>
      <w:r w:rsidR="00FB4D08">
        <w:rPr>
          <w:rFonts w:ascii="Times New Roman" w:eastAsia="Times New Roman" w:hAnsi="Times New Roman" w:cs="Times New Roman"/>
        </w:rPr>
        <w:t>a</w:t>
      </w:r>
      <w:r w:rsidRPr="004E616A">
        <w:rPr>
          <w:rFonts w:ascii="Times New Roman" w:eastAsia="Times New Roman" w:hAnsi="Times New Roman" w:cs="Times New Roman"/>
        </w:rPr>
        <w:t xml:space="preserve"> teacher met with 5 students, four of them female, to come up with experimentation questions that tapped into students’ funds of knowledge. The students and teacher </w:t>
      </w:r>
      <w:r w:rsidR="00920F17">
        <w:rPr>
          <w:rFonts w:ascii="Times New Roman" w:eastAsia="Times New Roman" w:hAnsi="Times New Roman" w:cs="Times New Roman"/>
        </w:rPr>
        <w:t xml:space="preserve">then </w:t>
      </w:r>
      <w:r w:rsidRPr="004E616A">
        <w:rPr>
          <w:rFonts w:ascii="Times New Roman" w:eastAsia="Times New Roman" w:hAnsi="Times New Roman" w:cs="Times New Roman"/>
        </w:rPr>
        <w:t xml:space="preserve">designed a multifaceted unit on nutrition, where students, among other things, interviewed family members about food and cooking, prepared food for their classmates, went to fast food restaurants and convenience stores to purchase meals for under $5.00, </w:t>
      </w:r>
      <w:r w:rsidR="00920F17">
        <w:rPr>
          <w:rFonts w:ascii="Times New Roman" w:eastAsia="Times New Roman" w:hAnsi="Times New Roman" w:cs="Times New Roman"/>
        </w:rPr>
        <w:t xml:space="preserve">and </w:t>
      </w:r>
      <w:r w:rsidRPr="004E616A">
        <w:rPr>
          <w:rFonts w:ascii="Times New Roman" w:eastAsia="Times New Roman" w:hAnsi="Times New Roman" w:cs="Times New Roman"/>
        </w:rPr>
        <w:t>compar</w:t>
      </w:r>
      <w:r w:rsidR="00920F17">
        <w:rPr>
          <w:rFonts w:ascii="Times New Roman" w:eastAsia="Times New Roman" w:hAnsi="Times New Roman" w:cs="Times New Roman"/>
        </w:rPr>
        <w:t>ed</w:t>
      </w:r>
      <w:r w:rsidRPr="004E616A">
        <w:rPr>
          <w:rFonts w:ascii="Times New Roman" w:eastAsia="Times New Roman" w:hAnsi="Times New Roman" w:cs="Times New Roman"/>
        </w:rPr>
        <w:t xml:space="preserve"> their purchases for nutritional value. The experience was empowering for students, motivating even the most reluctant, and at times resulting in 100% discussion participation instead of the usual 50%. Despite the successes, the teacher and the authors acknowledge that it just is not “feasible or practical” to run these types of units throughout a semester. </w:t>
      </w:r>
      <w:r>
        <w:rPr>
          <w:rFonts w:ascii="Times New Roman" w:eastAsia="Times New Roman" w:hAnsi="Times New Roman" w:cs="Times New Roman"/>
        </w:rPr>
        <w:t>They conclude that w</w:t>
      </w:r>
      <w:r w:rsidRPr="004E616A">
        <w:rPr>
          <w:rFonts w:ascii="Times New Roman" w:eastAsia="Times New Roman" w:hAnsi="Times New Roman" w:cs="Times New Roman"/>
        </w:rPr>
        <w:t>e need to find additional ways of incorporating funds of knowledge into the classroom.</w:t>
      </w:r>
    </w:p>
    <w:p w14:paraId="60158087" w14:textId="77777777" w:rsidR="00A4278E" w:rsidRPr="004E616A" w:rsidRDefault="00A4278E" w:rsidP="00A4278E">
      <w:pPr>
        <w:widowControl w:val="0"/>
        <w:tabs>
          <w:tab w:val="left" w:pos="75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33" w:hanging="733"/>
        <w:rPr>
          <w:rFonts w:ascii="Times New Roman" w:eastAsia="Times New Roman" w:hAnsi="Times New Roman" w:cs="Times New Roman"/>
        </w:rPr>
      </w:pPr>
      <w:r w:rsidRPr="004E616A">
        <w:rPr>
          <w:rFonts w:ascii="Times New Roman" w:eastAsia="Times New Roman" w:hAnsi="Times New Roman" w:cs="Times New Roman"/>
        </w:rPr>
        <w:lastRenderedPageBreak/>
        <w:t xml:space="preserve">Carter, Shannon. “Redefining Literacy as a Social Practice.” </w:t>
      </w:r>
      <w:r w:rsidRPr="004E616A">
        <w:rPr>
          <w:rFonts w:ascii="Times New Roman" w:eastAsia="Times New Roman" w:hAnsi="Times New Roman" w:cs="Times New Roman"/>
          <w:i/>
          <w:iCs/>
        </w:rPr>
        <w:t>Journal of Basic Writing</w:t>
      </w:r>
      <w:r w:rsidRPr="004E616A">
        <w:rPr>
          <w:rFonts w:ascii="Times New Roman" w:eastAsia="Times New Roman" w:hAnsi="Times New Roman" w:cs="Times New Roman"/>
        </w:rPr>
        <w:t>. 25.2 (2006): 94 – 125. Web. 16 September 2011.</w:t>
      </w:r>
    </w:p>
    <w:p w14:paraId="33F091BC" w14:textId="1B358126" w:rsidR="00A4278E" w:rsidRPr="004E616A" w:rsidRDefault="00A4278E" w:rsidP="00A4278E">
      <w:pPr>
        <w:widowControl w:val="0"/>
        <w:autoSpaceDE w:val="0"/>
        <w:autoSpaceDN w:val="0"/>
        <w:adjustRightInd w:val="0"/>
        <w:spacing w:line="276" w:lineRule="auto"/>
        <w:ind w:left="720" w:hanging="14"/>
        <w:rPr>
          <w:rFonts w:ascii="Times New Roman" w:eastAsia="Times New Roman" w:hAnsi="Times New Roman" w:cs="Times New Roman"/>
        </w:rPr>
      </w:pPr>
      <w:r w:rsidRPr="004E616A">
        <w:rPr>
          <w:rFonts w:ascii="Times New Roman" w:eastAsia="Times New Roman" w:hAnsi="Times New Roman" w:cs="Times New Roman"/>
        </w:rPr>
        <w:t xml:space="preserve">This article is a distillation of Carter’s book, </w:t>
      </w:r>
      <w:r w:rsidRPr="004E616A">
        <w:rPr>
          <w:rFonts w:ascii="Times New Roman" w:eastAsia="Times New Roman" w:hAnsi="Times New Roman" w:cs="Times New Roman"/>
          <w:i/>
          <w:iCs/>
        </w:rPr>
        <w:t xml:space="preserve">The Way Literacy Lives. </w:t>
      </w:r>
      <w:r w:rsidRPr="004E616A">
        <w:rPr>
          <w:rFonts w:ascii="Times New Roman" w:eastAsia="Times New Roman" w:hAnsi="Times New Roman" w:cs="Times New Roman"/>
        </w:rPr>
        <w:t xml:space="preserve">It presents the essence of her curriculum and her theory of rhetorical dexterity—the ability to take the skills of one literacy and apply them to others. The article details how students analyze and write about the literacy practices they use at their workplaces. Through a series of assignments, they come to realize that all communities of practice have rules about appropriate and inappropriate behaviors and practices. The students then write a culminating essay where they compare their workplace literacies to academic ones. In providing ideas for a </w:t>
      </w:r>
      <w:proofErr w:type="gramStart"/>
      <w:r w:rsidRPr="004E616A">
        <w:rPr>
          <w:rFonts w:ascii="Times New Roman" w:eastAsia="Times New Roman" w:hAnsi="Times New Roman" w:cs="Times New Roman"/>
        </w:rPr>
        <w:t>literacies</w:t>
      </w:r>
      <w:proofErr w:type="gramEnd"/>
      <w:r w:rsidRPr="004E616A">
        <w:rPr>
          <w:rFonts w:ascii="Times New Roman" w:eastAsia="Times New Roman" w:hAnsi="Times New Roman" w:cs="Times New Roman"/>
        </w:rPr>
        <w:t xml:space="preserve"> curriculum, Carter demonstrates how Gee’s concept of semiotic domains (or what Carter prefers to call “communities of practice”) can be extended for practical writing purposes. </w:t>
      </w:r>
    </w:p>
    <w:p w14:paraId="3793E219" w14:textId="77777777" w:rsidR="006823E6" w:rsidRDefault="006823E6" w:rsidP="00A4278E">
      <w:pPr>
        <w:spacing w:line="276" w:lineRule="auto"/>
      </w:pPr>
    </w:p>
    <w:sectPr w:rsidR="0068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8E"/>
    <w:rsid w:val="000E1577"/>
    <w:rsid w:val="005441DD"/>
    <w:rsid w:val="006823E6"/>
    <w:rsid w:val="00920F17"/>
    <w:rsid w:val="009325DC"/>
    <w:rsid w:val="00A12B0F"/>
    <w:rsid w:val="00A4278E"/>
    <w:rsid w:val="00FB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1CEAE"/>
  <w15:chartTrackingRefBased/>
  <w15:docId w15:val="{5E1F9AA4-AC8F-6D40-92D2-8C5AD46E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78E"/>
    <w:rPr>
      <w:rFonts w:eastAsiaTheme="minorEastAsia"/>
      <w:kern w:val="0"/>
      <w14:ligatures w14:val="none"/>
    </w:rPr>
  </w:style>
  <w:style w:type="paragraph" w:styleId="Heading1">
    <w:name w:val="heading 1"/>
    <w:basedOn w:val="Normal"/>
    <w:next w:val="Normal"/>
    <w:link w:val="Heading1Char"/>
    <w:autoRedefine/>
    <w:uiPriority w:val="9"/>
    <w:qFormat/>
    <w:rsid w:val="00A12B0F"/>
    <w:pPr>
      <w:keepNext/>
      <w:keepLines/>
      <w:spacing w:before="240" w:after="120"/>
      <w:outlineLvl w:val="0"/>
    </w:pPr>
    <w:rPr>
      <w:rFonts w:asciiTheme="majorHAnsi" w:eastAsiaTheme="majorEastAsia" w:hAnsiTheme="majorHAnsi" w:cstheme="majorBidi"/>
      <w:b/>
      <w:color w:val="C45911" w:themeColor="accent2" w:themeShade="BF"/>
      <w:sz w:val="32"/>
      <w:szCs w:val="32"/>
    </w:rPr>
  </w:style>
  <w:style w:type="paragraph" w:styleId="Heading2">
    <w:name w:val="heading 2"/>
    <w:basedOn w:val="Normal"/>
    <w:next w:val="Normal"/>
    <w:link w:val="Heading2Char"/>
    <w:autoRedefine/>
    <w:uiPriority w:val="9"/>
    <w:unhideWhenUsed/>
    <w:qFormat/>
    <w:rsid w:val="005441DD"/>
    <w:pPr>
      <w:keepNext/>
      <w:keepLines/>
      <w:spacing w:before="40" w:after="120"/>
      <w:outlineLvl w:val="1"/>
    </w:pPr>
    <w:rPr>
      <w:rFonts w:asciiTheme="majorHAnsi" w:eastAsiaTheme="majorEastAsia" w:hAnsiTheme="majorHAnsi" w:cstheme="majorBidi"/>
      <w:b/>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E">
    <w:name w:val="WOE"/>
    <w:basedOn w:val="Normal"/>
    <w:qFormat/>
    <w:rsid w:val="009325DC"/>
    <w:pPr>
      <w:pBdr>
        <w:top w:val="nil"/>
        <w:left w:val="nil"/>
        <w:bottom w:val="nil"/>
        <w:right w:val="nil"/>
        <w:between w:val="nil"/>
        <w:bar w:val="nil"/>
      </w:pBdr>
      <w:spacing w:after="120"/>
      <w:ind w:firstLine="720"/>
    </w:pPr>
    <w:rPr>
      <w:rFonts w:ascii="Palatino" w:eastAsia="Arial Unicode MS" w:hAnsi="Palatino" w:cs="Arial Unicode MS"/>
      <w:bCs/>
      <w:color w:val="000000"/>
      <w:u w:color="000000"/>
      <w:bdr w:val="nil"/>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A12B0F"/>
    <w:rPr>
      <w:rFonts w:asciiTheme="majorHAnsi" w:eastAsiaTheme="majorEastAsia" w:hAnsiTheme="majorHAnsi" w:cstheme="majorBidi"/>
      <w:b/>
      <w:color w:val="C45911" w:themeColor="accent2" w:themeShade="BF"/>
      <w:sz w:val="32"/>
      <w:szCs w:val="32"/>
    </w:rPr>
  </w:style>
  <w:style w:type="character" w:customStyle="1" w:styleId="Heading2Char">
    <w:name w:val="Heading 2 Char"/>
    <w:basedOn w:val="DefaultParagraphFont"/>
    <w:link w:val="Heading2"/>
    <w:uiPriority w:val="9"/>
    <w:rsid w:val="005441DD"/>
    <w:rPr>
      <w:rFonts w:asciiTheme="majorHAnsi" w:eastAsiaTheme="majorEastAsia" w:hAnsiTheme="majorHAnsi" w:cstheme="majorBidi"/>
      <w:b/>
      <w:color w:val="C00000"/>
      <w:sz w:val="26"/>
      <w:szCs w:val="26"/>
    </w:rPr>
  </w:style>
  <w:style w:type="table" w:styleId="TableGrid">
    <w:name w:val="Table Grid"/>
    <w:basedOn w:val="TableNormal"/>
    <w:uiPriority w:val="39"/>
    <w:rsid w:val="00920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 Sewell</dc:creator>
  <cp:keywords/>
  <dc:description/>
  <cp:lastModifiedBy>William J Sewell</cp:lastModifiedBy>
  <cp:revision>1</cp:revision>
  <dcterms:created xsi:type="dcterms:W3CDTF">2024-02-27T18:38:00Z</dcterms:created>
  <dcterms:modified xsi:type="dcterms:W3CDTF">2024-02-27T19:07:00Z</dcterms:modified>
</cp:coreProperties>
</file>