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E7" w:rsidRPr="00506B21" w:rsidRDefault="00506B21">
      <w:pPr>
        <w:pStyle w:val="a6"/>
        <w:rPr>
          <w:rFonts w:ascii="宋体" w:eastAsia="宋体" w:hAnsi="宋体"/>
          <w:sz w:val="44"/>
          <w:szCs w:val="44"/>
          <w:lang w:eastAsia="zh-CN"/>
        </w:rPr>
      </w:pPr>
      <w:r w:rsidRPr="00506B21">
        <w:rPr>
          <w:rFonts w:ascii="宋体" w:eastAsia="宋体" w:hAnsi="宋体"/>
          <w:sz w:val="44"/>
          <w:szCs w:val="44"/>
          <w:lang w:eastAsia="zh-CN"/>
        </w:rPr>
        <w:t>财务分析</w:t>
      </w:r>
      <w:r w:rsidRPr="00506B21">
        <w:rPr>
          <w:rFonts w:ascii="宋体" w:eastAsia="宋体" w:hAnsi="宋体"/>
          <w:sz w:val="44"/>
          <w:szCs w:val="44"/>
          <w:lang w:eastAsia="zh-CN"/>
        </w:rPr>
        <w:t>_test</w:t>
      </w:r>
    </w:p>
    <w:p w:rsidR="003716E7" w:rsidRDefault="00506B21">
      <w:pPr>
        <w:rPr>
          <w:lang w:eastAsia="zh-CN"/>
        </w:rPr>
      </w:pPr>
      <w:r>
        <w:rPr>
          <w:lang w:eastAsia="zh-CN"/>
        </w:rPr>
        <w:t>在已有分析框架的基础上，每次分析时很多部分都是相似的，这就为自动化财务分析提供了机会</w:t>
      </w:r>
    </w:p>
    <w:p w:rsidR="003716E7" w:rsidRPr="00506B21" w:rsidRDefault="00506B21">
      <w:pPr>
        <w:pStyle w:val="1"/>
        <w:rPr>
          <w:rFonts w:ascii="宋体" w:eastAsia="宋体" w:hAnsi="宋体"/>
          <w:lang w:eastAsia="zh-CN"/>
        </w:rPr>
      </w:pPr>
      <w:r w:rsidRPr="00506B21">
        <w:rPr>
          <w:rFonts w:ascii="宋体" w:eastAsia="宋体" w:hAnsi="宋体"/>
          <w:lang w:eastAsia="zh-CN"/>
        </w:rPr>
        <w:t>公司简介</w:t>
      </w:r>
    </w:p>
    <w:p w:rsidR="003716E7" w:rsidRDefault="00506B21">
      <w:pPr>
        <w:rPr>
          <w:lang w:eastAsia="zh-CN"/>
        </w:rPr>
      </w:pPr>
      <w:r>
        <w:rPr>
          <w:lang w:eastAsia="zh-CN"/>
        </w:rPr>
        <w:t>公司是中国白酒龙头，主要生产销售茅台酒及茅台系列酒。历年来茅台酒的销售收入占公司营业收入的</w:t>
      </w:r>
      <w:r>
        <w:rPr>
          <w:lang w:eastAsia="zh-CN"/>
        </w:rPr>
        <w:t>90%</w:t>
      </w:r>
      <w:r>
        <w:rPr>
          <w:lang w:eastAsia="zh-CN"/>
        </w:rPr>
        <w:t>以上。</w:t>
      </w:r>
    </w:p>
    <w:p w:rsidR="003716E7" w:rsidRPr="00506B21" w:rsidRDefault="00506B21">
      <w:pPr>
        <w:pStyle w:val="1"/>
        <w:rPr>
          <w:rFonts w:ascii="宋体" w:eastAsia="宋体" w:hAnsi="宋体"/>
          <w:lang w:eastAsia="zh-CN"/>
        </w:rPr>
      </w:pPr>
      <w:r w:rsidRPr="00506B21">
        <w:rPr>
          <w:rFonts w:ascii="宋体" w:eastAsia="宋体" w:hAnsi="宋体"/>
          <w:lang w:eastAsia="zh-CN"/>
        </w:rPr>
        <w:t>财务分析</w:t>
      </w:r>
    </w:p>
    <w:p w:rsidR="003716E7" w:rsidRPr="00506B21" w:rsidRDefault="00506B21" w:rsidP="00506B21">
      <w:pPr>
        <w:pStyle w:val="21"/>
        <w:numPr>
          <w:ilvl w:val="0"/>
          <w:numId w:val="10"/>
        </w:numPr>
        <w:rPr>
          <w:rFonts w:ascii="宋体" w:eastAsia="宋体" w:hAnsi="宋体"/>
          <w:lang w:eastAsia="zh-CN"/>
        </w:rPr>
      </w:pPr>
      <w:r w:rsidRPr="00506B21">
        <w:rPr>
          <w:rFonts w:ascii="宋体" w:eastAsia="宋体" w:hAnsi="宋体"/>
          <w:lang w:eastAsia="zh-CN"/>
        </w:rPr>
        <w:t>基本财务指标</w:t>
      </w:r>
    </w:p>
    <w:p w:rsidR="003716E7" w:rsidRDefault="00506B21" w:rsidP="00506B21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营业</w:t>
      </w:r>
      <w:r>
        <w:rPr>
          <w:rFonts w:ascii="Yu Gothic UI" w:eastAsia="Yu Gothic UI" w:hAnsi="Yu Gothic UI" w:cs="Yu Gothic UI" w:hint="eastAsia"/>
          <w:lang w:eastAsia="zh-CN"/>
        </w:rPr>
        <w:t>收入</w:t>
      </w:r>
    </w:p>
    <w:p w:rsidR="003716E7" w:rsidRDefault="003716E7">
      <w:pPr>
        <w:rPr>
          <w:lang w:eastAsia="zh-CN"/>
        </w:rPr>
      </w:pPr>
    </w:p>
    <w:p w:rsidR="003716E7" w:rsidRDefault="00506B21">
      <w:r>
        <w:rPr>
          <w:noProof/>
          <w:lang w:eastAsia="zh-CN"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营收及增长率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E7" w:rsidRPr="00506B21" w:rsidRDefault="00506B21" w:rsidP="00506B21">
      <w:pPr>
        <w:pStyle w:val="21"/>
        <w:numPr>
          <w:ilvl w:val="0"/>
          <w:numId w:val="10"/>
        </w:numPr>
        <w:rPr>
          <w:rFonts w:ascii="宋体" w:eastAsia="宋体" w:hAnsi="宋体"/>
          <w:lang w:eastAsia="zh-CN"/>
        </w:rPr>
      </w:pPr>
      <w:r w:rsidRPr="00506B21">
        <w:rPr>
          <w:rFonts w:ascii="宋体" w:eastAsia="宋体" w:hAnsi="宋体"/>
          <w:lang w:eastAsia="zh-CN"/>
        </w:rPr>
        <w:lastRenderedPageBreak/>
        <w:t>盈利能力分析</w:t>
      </w:r>
    </w:p>
    <w:p w:rsidR="003716E7" w:rsidRDefault="00506B21">
      <w:r>
        <w:t>净利率</w:t>
      </w:r>
    </w:p>
    <w:p w:rsidR="00506B21" w:rsidRDefault="00506B21">
      <w:r>
        <w:rPr>
          <w:noProof/>
          <w:lang w:eastAsia="zh-CN"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净利率对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21" w:rsidRPr="00506B21" w:rsidRDefault="00506B21" w:rsidP="00506B21"/>
    <w:p w:rsidR="00506B21" w:rsidRDefault="00506B21" w:rsidP="00506B21"/>
    <w:p w:rsidR="003716E7" w:rsidRPr="00506B21" w:rsidRDefault="003716E7" w:rsidP="00506B21">
      <w:bookmarkStart w:id="0" w:name="_GoBack"/>
      <w:bookmarkEnd w:id="0"/>
    </w:p>
    <w:sectPr w:rsidR="003716E7" w:rsidRPr="00506B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A6639E"/>
    <w:multiLevelType w:val="hybridMultilevel"/>
    <w:tmpl w:val="9D962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6E7"/>
    <w:rsid w:val="00506B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5C795"/>
  <w14:defaultImageDpi w14:val="300"/>
  <w15:docId w15:val="{CDABCE09-E928-40FF-BBFB-FC632DC4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000000" w:themeFill="tex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C4C74" w:themeFill="accen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772C2A" w:themeFill="accent2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5E7530" w:themeFill="accent3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4C3B62" w:themeFill="accent4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76A7C" w:themeFill="accent5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B65608" w:themeFill="accent6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CE8C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CE8C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CE8C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CE8C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CE8C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CE8C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CE8C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CE8C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CE8C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CE8C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86E7E-7735-4962-9A87-06601ED7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姜晓波</cp:lastModifiedBy>
  <cp:revision>2</cp:revision>
  <dcterms:created xsi:type="dcterms:W3CDTF">2013-12-23T23:15:00Z</dcterms:created>
  <dcterms:modified xsi:type="dcterms:W3CDTF">2017-07-20T11:56:00Z</dcterms:modified>
  <cp:category/>
</cp:coreProperties>
</file>