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b/>
          <w:bCs/>
          <w:color w:val="0F1B16"/>
          <w:sz w:val="64"/>
          <w:szCs w:val="64"/>
        </w:rPr>
        <w:t xml:space="preserve">accesly</w:t>
      </w:r>
    </w:p>
    <w:p>
      <w:pPr>
        <w:pBdr>
          <w:bottom w:val="single" w:color="8B5CF6" w:sz="18" w:space="6"/>
        </w:pBdr>
        <w:spacing w:after="40"/>
      </w:pPr>
      <w:r>
        <w:t xml:space="preserve"/>
      </w:r>
    </w:p>
    <w:p>
      <w:pPr>
        <w:spacing w:after="80" w:before="240"/>
      </w:pPr>
      <w:r>
        <w:rPr>
          <w:b/>
          <w:bCs/>
          <w:color w:val="0F1B16"/>
          <w:sz w:val="40"/>
          <w:szCs w:val="40"/>
        </w:rPr>
        <w:t xml:space="preserve">Arquitectura técnica de infraestructura de pagos</w:t>
      </w:r>
    </w:p>
    <w:p>
      <w:pPr>
        <w:spacing w:after="40"/>
      </w:pPr>
      <w:r>
        <w:rPr>
          <w:color w:val="6B766E"/>
          <w:sz w:val="26"/>
          <w:szCs w:val="26"/>
        </w:rPr>
        <w:t xml:space="preserve">Cobro dentro del chat (WhatsApp, Telegram, Instagram) con blockchain invisible</w:t>
      </w:r>
    </w:p>
    <w:p>
      <w:pPr>
        <w:spacing w:after="240"/>
      </w:pPr>
      <w:r>
        <w:rPr>
          <w:b/>
          <w:bCs/>
          <w:color w:val="8B5CF6"/>
          <w:sz w:val="22"/>
          <w:szCs w:val="22"/>
        </w:rPr>
        <w:t xml:space="preserve">Stellar · USDC · Etherfuse · Account Abstraction (Passkey + MPC)</w:t>
      </w:r>
    </w:p>
    <w:p>
      <w:pPr>
        <w:spacing w:before="400"/>
      </w:pPr>
      <w:r>
        <w:rPr>
          <w:color w:val="6B766E"/>
          <w:sz w:val="20"/>
          <w:szCs w:val="20"/>
        </w:rPr>
        <w:t xml:space="preserve">Documento técnico interno</w:t>
      </w:r>
      <w:r>
        <w:rPr>
          <w:color w:val="6B766E"/>
          <w:sz w:val="20"/>
          <w:szCs w:val="20"/>
        </w:rPr>
        <w:t xml:space="preserve">  ·  Junio 2026  ·  v1</w:t>
      </w:r>
    </w:p>
    <w:p>
      <w:pPr>
        <w:spacing w:before="80"/>
      </w:pPr>
      <w:r>
        <w:rPr>
          <w:i/>
          <w:iCs/>
          <w:color w:val="6B766E"/>
          <w:sz w:val="20"/>
          <w:szCs w:val="20"/>
        </w:rPr>
        <w:t xml:space="preserve">Diseñado a partir del demo funcional de Accesly. Enfoque: flujos atómicos de mínima fricción.</w:t>
      </w:r>
    </w:p>
    <w:p>
      <w:pPr>
        <w:pageBreakBefore/>
      </w:pPr>
      <w:r>
        <w:t xml:space="preserve"/>
      </w:r>
    </w:p>
    <w:p>
      <w:pPr>
        <w:pStyle w:val="Heading1"/>
      </w:pPr>
      <w:r>
        <w:t xml:space="preserve">0. Resumen ejecutivo</w:t>
      </w:r>
    </w:p>
    <w:p>
      <w:pPr>
        <w:spacing w:after="120" w:line="276"/>
      </w:pPr>
      <w:r>
        <w:t xml:space="preserve">Accesly es una </w:t>
      </w:r>
      <w:r>
        <w:rPr>
          <w:b/>
          <w:bCs/>
        </w:rPr>
        <w:t xml:space="preserve">capa de orquestación de pagos no custodial</w:t>
      </w:r>
      <w:r>
        <w:t xml:space="preserve"> que permite que cualquier negocio cobre dentro de un chat (WhatsApp, Telegram, Instagram) sin construir infraestructura de pagos. El usuario final paga "normal"; </w:t>
      </w:r>
      <w:r>
        <w:rPr>
          <w:b/>
          <w:bCs/>
        </w:rPr>
        <w:t xml:space="preserve">nunca percibe que hay blockchain</w:t>
      </w:r>
      <w:r>
        <w:t xml:space="preserve">. Por debajo, el valor se liquida en </w:t>
      </w:r>
      <w:r>
        <w:rPr>
          <w:b/>
          <w:bCs/>
        </w:rPr>
        <w:t xml:space="preserve">USDC sobre Stellar</w:t>
      </w:r>
      <w:r>
        <w:t xml:space="preserve">, y el on/off-ramp fiat lo ejecuta </w:t>
      </w:r>
      <w:r>
        <w:rPr>
          <w:b/>
          <w:bCs/>
        </w:rPr>
        <w:t xml:space="preserve">Etherfuse</w:t>
      </w:r>
      <w:r>
        <w:t xml:space="preserve"> como tercero regulado. Accesly no custodia fondos ni datos sensibles y cobra su comisión vía </w:t>
      </w:r>
      <w:r>
        <w:rPr>
          <w:i/>
          <w:iCs/>
        </w:rPr>
        <w:t xml:space="preserve">partner fee</w:t>
      </w:r>
      <w:r>
        <w:t xml:space="preserve">.</w:t>
      </w:r>
    </w:p>
    <w:p>
      <w:pPr>
        <w:spacing w:after="120" w:line="276"/>
      </w:pPr>
      <w:r>
        <w:t xml:space="preserve">La premisa de diseño es </w:t>
      </w:r>
      <w:r>
        <w:rPr>
          <w:b/>
          <w:bCs/>
        </w:rPr>
        <w:t xml:space="preserve">mínima fricción</w:t>
      </w:r>
      <w:r>
        <w:t xml:space="preserve">: el usuario se identifica con su número de teléfono y un passkey, su wallet se crea sola, y los pagos se confirman con biometría en uno o dos toques. Para lograrlo, la arquitectura prioriza </w:t>
      </w:r>
      <w:r>
        <w:rPr>
          <w:b/>
          <w:bCs/>
        </w:rPr>
        <w:t xml:space="preserve">flujos atómicos</w:t>
      </w:r>
      <w:r>
        <w:t xml:space="preserve"> (operaciones que ocurren completas o no ocurren) y </w:t>
      </w:r>
      <w:r>
        <w:rPr>
          <w:b/>
          <w:bCs/>
        </w:rPr>
        <w:t xml:space="preserve">pre-fondeo de gas</w:t>
      </w:r>
      <w:r>
        <w:t xml:space="preserve"> para que el usuario nunca toque XLM ni firme transacciones técnicas.</w:t>
      </w:r>
    </w:p>
    <w:p>
      <w:pPr>
        <w:pStyle w:val="Heading3"/>
      </w:pPr>
      <w:r>
        <w:t xml:space="preserve">Qué soporta esta arquitectura (según el demo)</w:t>
      </w:r>
    </w:p>
    <w:p>
      <w:pPr>
        <w:pStyle w:val="ListParagraph"/>
        <w:numPr>
          <w:ilvl w:val="0"/>
          <w:numId w:val="2"/>
        </w:numPr>
        <w:spacing w:after="80" w:line="276"/>
      </w:pPr>
      <w:r>
        <w:t xml:space="preserve">Wallet con passkey ligada al número de teléfono, creada en el onboarding sin app ni contraseña.</w:t>
      </w:r>
    </w:p>
    <w:p>
      <w:pPr>
        <w:pStyle w:val="ListParagraph"/>
        <w:numPr>
          <w:ilvl w:val="0"/>
          <w:numId w:val="2"/>
        </w:numPr>
        <w:spacing w:after="80" w:line="276"/>
      </w:pPr>
      <w:r>
        <w:t xml:space="preserve">Una sola wallet universal para todas las redes sociales y todos los negocios.</w:t>
      </w:r>
    </w:p>
    <w:p>
      <w:pPr>
        <w:pStyle w:val="ListParagraph"/>
        <w:numPr>
          <w:ilvl w:val="0"/>
          <w:numId w:val="2"/>
        </w:numPr>
        <w:spacing w:after="80" w:line="276"/>
      </w:pPr>
      <w:r>
        <w:t xml:space="preserve">Modelos de cobro: servicio/producto, suscripción, pay-as-you-go (por uso), propina/donación.</w:t>
      </w:r>
    </w:p>
    <w:p>
      <w:pPr>
        <w:pStyle w:val="ListParagraph"/>
        <w:numPr>
          <w:ilvl w:val="0"/>
          <w:numId w:val="2"/>
        </w:numPr>
        <w:spacing w:after="80" w:line="276"/>
      </w:pPr>
      <w:r>
        <w:t xml:space="preserve">Agente de IA que atiende y cobra dentro del chat, con saldo de IA recargable.</w:t>
      </w:r>
    </w:p>
    <w:p>
      <w:pPr>
        <w:pStyle w:val="ListParagraph"/>
        <w:numPr>
          <w:ilvl w:val="0"/>
          <w:numId w:val="2"/>
        </w:numPr>
        <w:spacing w:after="80" w:line="276"/>
      </w:pPr>
      <w:r>
        <w:t xml:space="preserve">Liquidación al instante, retiro a banco (off-ramp) y conexión a herramientas (Calendar, Gmail, Sheets, Drive).</w:t>
      </w:r>
    </w:p>
    <w:p>
      <w:pPr>
        <w:pStyle w:val="ListParagraph"/>
        <w:numPr>
          <w:ilvl w:val="0"/>
          <w:numId w:val="2"/>
        </w:numPr>
        <w:spacing w:after="80" w:line="276"/>
      </w:pPr>
      <w:r>
        <w:t xml:space="preserve">Cripto invisible de extremo a extremo: el cliente paga en pesos/fiat aparente.</w:t>
      </w:r>
    </w:p>
    <w:p>
      <w:pPr>
        <w:pStyle w:val="Heading1"/>
      </w:pPr>
      <w:r>
        <w:t xml:space="preserve">1. Principios de diseño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9DED8" w:sz="1"/>
              <w:left w:val="single" w:color="D9DED8" w:sz="1"/>
              <w:bottom w:val="single" w:color="D9DED8" w:sz="1"/>
              <w:right w:val="single" w:color="D9DED8" w:sz="1"/>
            </w:tcBorders>
            <w:shd w:fill="0F1B16" w:val="clear"/>
            <w:tcMar>
              <w:top w:type="dxa" w:w="80"/>
              <w:left w:type="dxa" w:w="120"/>
              <w:bottom w:type="dxa" w:w="80"/>
              <w:right w:type="dxa" w:w="120"/>
            </w:tcMar>
          </w:tcPr>
          <w:p>
            <w:pPr>
              <w:spacing w:after="0" w:line="264"/>
              <w:jc w:val="left"/>
            </w:pPr>
            <w:r>
              <w:rPr>
                <w:b/>
                <w:bCs/>
                <w:color w:val="FFFFFF"/>
                <w:sz w:val="19"/>
                <w:szCs w:val="19"/>
              </w:rPr>
              <w:t xml:space="preserve">Principio</w:t>
            </w:r>
          </w:p>
        </w:tc>
        <w:tc>
          <w:tcPr>
            <w:tcW w:type="dxa" w:w="6960"/>
            <w:tcBorders>
              <w:top w:val="single" w:color="D9DED8" w:sz="1"/>
              <w:left w:val="single" w:color="D9DED8" w:sz="1"/>
              <w:bottom w:val="single" w:color="D9DED8" w:sz="1"/>
              <w:right w:val="single" w:color="D9DED8" w:sz="1"/>
            </w:tcBorders>
            <w:shd w:fill="0F1B16" w:val="clear"/>
            <w:tcMar>
              <w:top w:type="dxa" w:w="80"/>
              <w:left w:type="dxa" w:w="120"/>
              <w:bottom w:type="dxa" w:w="80"/>
              <w:right w:type="dxa" w:w="120"/>
            </w:tcMar>
          </w:tcPr>
          <w:p>
            <w:pPr>
              <w:spacing w:after="0" w:line="264"/>
              <w:jc w:val="left"/>
            </w:pPr>
            <w:r>
              <w:rPr>
                <w:b/>
                <w:bCs/>
                <w:color w:val="FFFFFF"/>
                <w:sz w:val="19"/>
                <w:szCs w:val="19"/>
              </w:rPr>
              <w:t xml:space="preserve">Qué significa en la práctica</w:t>
            </w:r>
          </w:p>
        </w:tc>
      </w:tr>
      <w:tr>
        <w:trPr>
          <w:tblHeader w:val="false"/>
        </w:trPr>
        <w:tc>
          <w:tcPr>
            <w:tcW w:type="dxa" w:w="240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No custodia</w:t>
            </w:r>
          </w:p>
        </w:tc>
        <w:tc>
          <w:tcPr>
            <w:tcW w:type="dxa" w:w="696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El dinero nunca vive en una cuenta de Accesly. Los fondos están en la wallet del propio usuario/negocio o, momentáneamente, en el ramp regulado (Etherfuse). Accesly orquesta y cobra su fee.</w:t>
            </w:r>
          </w:p>
        </w:tc>
      </w:tr>
      <w:tr>
        <w:trPr>
          <w:tblHeader w:val="false"/>
        </w:trPr>
        <w:tc>
          <w:tcPr>
            <w:tcW w:type="dxa" w:w="2400"/>
            <w:tcBorders>
              <w:top w:val="single" w:color="D9DED8" w:sz="1"/>
              <w:left w:val="single" w:color="D9DED8" w:sz="1"/>
              <w:bottom w:val="single" w:color="D9DED8" w:sz="1"/>
              <w:right w:val="single" w:color="D9DED8" w:sz="1"/>
            </w:tcBorders>
            <w:shd w:fill="F6F7F5" w:val="clear"/>
            <w:tcMar>
              <w:top w:type="dxa" w:w="80"/>
              <w:left w:type="dxa" w:w="120"/>
              <w:bottom w:type="dxa" w:w="80"/>
              <w:right w:type="dxa" w:w="120"/>
            </w:tcMar>
          </w:tcPr>
          <w:p>
            <w:pPr>
              <w:spacing w:after="0" w:line="264"/>
              <w:jc w:val="left"/>
            </w:pPr>
            <w:r>
              <w:rPr>
                <w:b w:val="false"/>
                <w:bCs w:val="false"/>
                <w:color w:val="0F1B16"/>
                <w:sz w:val="18"/>
                <w:szCs w:val="18"/>
              </w:rPr>
              <w:t xml:space="preserve">Blockchain invisible</w:t>
            </w:r>
          </w:p>
        </w:tc>
        <w:tc>
          <w:tcPr>
            <w:tcW w:type="dxa" w:w="6960"/>
            <w:tcBorders>
              <w:top w:val="single" w:color="D9DED8" w:sz="1"/>
              <w:left w:val="single" w:color="D9DED8" w:sz="1"/>
              <w:bottom w:val="single" w:color="D9DED8" w:sz="1"/>
              <w:right w:val="single" w:color="D9DED8" w:sz="1"/>
            </w:tcBorders>
            <w:shd w:fill="F6F7F5" w:val="clear"/>
            <w:tcMar>
              <w:top w:type="dxa" w:w="80"/>
              <w:left w:type="dxa" w:w="120"/>
              <w:bottom w:type="dxa" w:w="80"/>
              <w:right w:type="dxa" w:w="120"/>
            </w:tcMar>
          </w:tcPr>
          <w:p>
            <w:pPr>
              <w:spacing w:after="0" w:line="264"/>
              <w:jc w:val="left"/>
            </w:pPr>
            <w:r>
              <w:rPr>
                <w:b w:val="false"/>
                <w:bCs w:val="false"/>
                <w:color w:val="0F1B16"/>
                <w:sz w:val="18"/>
                <w:szCs w:val="18"/>
              </w:rPr>
              <w:t xml:space="preserve">El usuario no ve wallets, llaves, gas, direcciones ni tokens. Paga con biometría. Toda la complejidad cripto se abstrae con account abstraction y pre-fondeo de gas.</w:t>
            </w:r>
          </w:p>
        </w:tc>
      </w:tr>
      <w:tr>
        <w:trPr>
          <w:tblHeader w:val="false"/>
        </w:trPr>
        <w:tc>
          <w:tcPr>
            <w:tcW w:type="dxa" w:w="240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Mínima fricción</w:t>
            </w:r>
          </w:p>
        </w:tc>
        <w:tc>
          <w:tcPr>
            <w:tcW w:type="dxa" w:w="696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Onboarding con passkey + teléfono. Pagos en uno o dos toques. Cero seed phrases. El sistema regenera y firma las transacciones técnicas por detrás.</w:t>
            </w:r>
          </w:p>
        </w:tc>
      </w:tr>
      <w:tr>
        <w:trPr>
          <w:tblHeader w:val="false"/>
        </w:trPr>
        <w:tc>
          <w:tcPr>
            <w:tcW w:type="dxa" w:w="2400"/>
            <w:tcBorders>
              <w:top w:val="single" w:color="D9DED8" w:sz="1"/>
              <w:left w:val="single" w:color="D9DED8" w:sz="1"/>
              <w:bottom w:val="single" w:color="D9DED8" w:sz="1"/>
              <w:right w:val="single" w:color="D9DED8" w:sz="1"/>
            </w:tcBorders>
            <w:shd w:fill="F6F7F5" w:val="clear"/>
            <w:tcMar>
              <w:top w:type="dxa" w:w="80"/>
              <w:left w:type="dxa" w:w="120"/>
              <w:bottom w:type="dxa" w:w="80"/>
              <w:right w:type="dxa" w:w="120"/>
            </w:tcMar>
          </w:tcPr>
          <w:p>
            <w:pPr>
              <w:spacing w:after="0" w:line="264"/>
              <w:jc w:val="left"/>
            </w:pPr>
            <w:r>
              <w:rPr>
                <w:b w:val="false"/>
                <w:bCs w:val="false"/>
                <w:color w:val="0F1B16"/>
                <w:sz w:val="18"/>
                <w:szCs w:val="18"/>
              </w:rPr>
              <w:t xml:space="preserve">Flujos atómicos</w:t>
            </w:r>
          </w:p>
        </w:tc>
        <w:tc>
          <w:tcPr>
            <w:tcW w:type="dxa" w:w="6960"/>
            <w:tcBorders>
              <w:top w:val="single" w:color="D9DED8" w:sz="1"/>
              <w:left w:val="single" w:color="D9DED8" w:sz="1"/>
              <w:bottom w:val="single" w:color="D9DED8" w:sz="1"/>
              <w:right w:val="single" w:color="D9DED8" w:sz="1"/>
            </w:tcBorders>
            <w:shd w:fill="F6F7F5" w:val="clear"/>
            <w:tcMar>
              <w:top w:type="dxa" w:w="80"/>
              <w:left w:type="dxa" w:w="120"/>
              <w:bottom w:type="dxa" w:w="80"/>
              <w:right w:type="dxa" w:w="120"/>
            </w:tcMar>
          </w:tcPr>
          <w:p>
            <w:pPr>
              <w:spacing w:after="0" w:line="264"/>
              <w:jc w:val="left"/>
            </w:pPr>
            <w:r>
              <w:rPr>
                <w:b w:val="false"/>
                <w:bCs w:val="false"/>
                <w:color w:val="0F1B16"/>
                <w:sz w:val="18"/>
                <w:szCs w:val="18"/>
              </w:rPr>
              <w:t xml:space="preserve">Cada cobro se diseña para completarse o revertirse como una unidad. La parte on-chain de Stellar es atómica por operación; la orquestación multi-parte se hace idempotente y reintentable.</w:t>
            </w:r>
          </w:p>
        </w:tc>
      </w:tr>
      <w:tr>
        <w:trPr>
          <w:tblHeader w:val="false"/>
        </w:trPr>
        <w:tc>
          <w:tcPr>
            <w:tcW w:type="dxa" w:w="240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Tercero regulado</w:t>
            </w:r>
          </w:p>
        </w:tc>
        <w:tc>
          <w:tcPr>
            <w:tcW w:type="dxa" w:w="696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Etherfuse es el sujeto obligado del on/off-ramp: hace KYC/KYB, posee la CLABE de depósito y mueve el fiat. Accesly queda fuera del perímetro regulatorio directo.</w:t>
            </w:r>
          </w:p>
        </w:tc>
      </w:tr>
      <w:tr>
        <w:trPr>
          <w:tblHeader w:val="false"/>
        </w:trPr>
        <w:tc>
          <w:tcPr>
            <w:tcW w:type="dxa" w:w="2400"/>
            <w:tcBorders>
              <w:top w:val="single" w:color="D9DED8" w:sz="1"/>
              <w:left w:val="single" w:color="D9DED8" w:sz="1"/>
              <w:bottom w:val="single" w:color="D9DED8" w:sz="1"/>
              <w:right w:val="single" w:color="D9DED8" w:sz="1"/>
            </w:tcBorders>
            <w:shd w:fill="F6F7F5" w:val="clear"/>
            <w:tcMar>
              <w:top w:type="dxa" w:w="80"/>
              <w:left w:type="dxa" w:w="120"/>
              <w:bottom w:type="dxa" w:w="80"/>
              <w:right w:type="dxa" w:w="120"/>
            </w:tcMar>
          </w:tcPr>
          <w:p>
            <w:pPr>
              <w:spacing w:after="0" w:line="264"/>
              <w:jc w:val="left"/>
            </w:pPr>
            <w:r>
              <w:rPr>
                <w:b w:val="false"/>
                <w:bCs w:val="false"/>
                <w:color w:val="0F1B16"/>
                <w:sz w:val="18"/>
                <w:szCs w:val="18"/>
              </w:rPr>
              <w:t xml:space="preserve">Multi-canal, una identidad</w:t>
            </w:r>
          </w:p>
        </w:tc>
        <w:tc>
          <w:tcPr>
            <w:tcW w:type="dxa" w:w="6960"/>
            <w:tcBorders>
              <w:top w:val="single" w:color="D9DED8" w:sz="1"/>
              <w:left w:val="single" w:color="D9DED8" w:sz="1"/>
              <w:bottom w:val="single" w:color="D9DED8" w:sz="1"/>
              <w:right w:val="single" w:color="D9DED8" w:sz="1"/>
            </w:tcBorders>
            <w:shd w:fill="F6F7F5" w:val="clear"/>
            <w:tcMar>
              <w:top w:type="dxa" w:w="80"/>
              <w:left w:type="dxa" w:w="120"/>
              <w:bottom w:type="dxa" w:w="80"/>
              <w:right w:type="dxa" w:w="120"/>
            </w:tcMar>
          </w:tcPr>
          <w:p>
            <w:pPr>
              <w:spacing w:after="0" w:line="264"/>
              <w:jc w:val="left"/>
            </w:pPr>
            <w:r>
              <w:rPr>
                <w:b w:val="false"/>
                <w:bCs w:val="false"/>
                <w:color w:val="0F1B16"/>
                <w:sz w:val="18"/>
                <w:szCs w:val="18"/>
              </w:rPr>
              <w:t xml:space="preserve">Una wallet por número de teléfono sirve en WhatsApp, Telegram e Instagram y para todos los negocios. El canal es solo la superficie de interacción.</w:t>
            </w:r>
          </w:p>
        </w:tc>
      </w:tr>
    </w:tbl>
    <w:p>
      <w:pPr>
        <w:pStyle w:val="Heading1"/>
      </w:pPr>
      <w:r>
        <w:t xml:space="preserve">2. Arquitectura en capas</w:t>
      </w:r>
    </w:p>
    <w:p>
      <w:pPr>
        <w:spacing w:after="120" w:line="276"/>
      </w:pPr>
      <w:r>
        <w:t xml:space="preserve">De arriba (lo que el usuario toca) hacia abajo (lo que liquida el valor):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60"/>
        <w:gridCol w:w="3900"/>
      </w:tblGrid>
      <w:tr>
        <w:trPr>
          <w:tblHeader/>
        </w:trPr>
        <w:tc>
          <w:tcPr>
            <w:tcW w:type="dxa" w:w="1700"/>
            <w:tcBorders>
              <w:top w:val="single" w:color="D9DED8" w:sz="1"/>
              <w:left w:val="single" w:color="D9DED8" w:sz="1"/>
              <w:bottom w:val="single" w:color="D9DED8" w:sz="1"/>
              <w:right w:val="single" w:color="D9DED8" w:sz="1"/>
            </w:tcBorders>
            <w:shd w:fill="0F1B16" w:val="clear"/>
            <w:tcMar>
              <w:top w:type="dxa" w:w="80"/>
              <w:left w:type="dxa" w:w="120"/>
              <w:bottom w:type="dxa" w:w="80"/>
              <w:right w:type="dxa" w:w="120"/>
            </w:tcMar>
          </w:tcPr>
          <w:p>
            <w:pPr>
              <w:spacing w:after="0" w:line="264"/>
              <w:jc w:val="left"/>
            </w:pPr>
            <w:r>
              <w:rPr>
                <w:b/>
                <w:bCs/>
                <w:color w:val="FFFFFF"/>
                <w:sz w:val="19"/>
                <w:szCs w:val="19"/>
              </w:rPr>
              <w:t xml:space="preserve">Capa</w:t>
            </w:r>
          </w:p>
        </w:tc>
        <w:tc>
          <w:tcPr>
            <w:tcW w:type="dxa" w:w="3760"/>
            <w:tcBorders>
              <w:top w:val="single" w:color="D9DED8" w:sz="1"/>
              <w:left w:val="single" w:color="D9DED8" w:sz="1"/>
              <w:bottom w:val="single" w:color="D9DED8" w:sz="1"/>
              <w:right w:val="single" w:color="D9DED8" w:sz="1"/>
            </w:tcBorders>
            <w:shd w:fill="0F1B16" w:val="clear"/>
            <w:tcMar>
              <w:top w:type="dxa" w:w="80"/>
              <w:left w:type="dxa" w:w="120"/>
              <w:bottom w:type="dxa" w:w="80"/>
              <w:right w:type="dxa" w:w="120"/>
            </w:tcMar>
          </w:tcPr>
          <w:p>
            <w:pPr>
              <w:spacing w:after="0" w:line="264"/>
              <w:jc w:val="left"/>
            </w:pPr>
            <w:r>
              <w:rPr>
                <w:b/>
                <w:bCs/>
                <w:color w:val="FFFFFF"/>
                <w:sz w:val="19"/>
                <w:szCs w:val="19"/>
              </w:rPr>
              <w:t xml:space="preserve">Componentes</w:t>
            </w:r>
          </w:p>
        </w:tc>
        <w:tc>
          <w:tcPr>
            <w:tcW w:type="dxa" w:w="3900"/>
            <w:tcBorders>
              <w:top w:val="single" w:color="D9DED8" w:sz="1"/>
              <w:left w:val="single" w:color="D9DED8" w:sz="1"/>
              <w:bottom w:val="single" w:color="D9DED8" w:sz="1"/>
              <w:right w:val="single" w:color="D9DED8" w:sz="1"/>
            </w:tcBorders>
            <w:shd w:fill="0F1B16" w:val="clear"/>
            <w:tcMar>
              <w:top w:type="dxa" w:w="80"/>
              <w:left w:type="dxa" w:w="120"/>
              <w:bottom w:type="dxa" w:w="80"/>
              <w:right w:type="dxa" w:w="120"/>
            </w:tcMar>
          </w:tcPr>
          <w:p>
            <w:pPr>
              <w:spacing w:after="0" w:line="264"/>
              <w:jc w:val="left"/>
            </w:pPr>
            <w:r>
              <w:rPr>
                <w:b/>
                <w:bCs/>
                <w:color w:val="FFFFFF"/>
                <w:sz w:val="19"/>
                <w:szCs w:val="19"/>
              </w:rPr>
              <w:t xml:space="preserve">Responsabilidad</w:t>
            </w:r>
          </w:p>
        </w:tc>
      </w:tr>
      <w:tr>
        <w:trPr>
          <w:tblHeader w:val="false"/>
        </w:trPr>
        <w:tc>
          <w:tcPr>
            <w:tcW w:type="dxa" w:w="170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Canales</w:t>
            </w:r>
          </w:p>
        </w:tc>
        <w:tc>
          <w:tcPr>
            <w:tcW w:type="dxa" w:w="376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WhatsApp Business API (BSP/Cloud API), Telegram Bot API, Instagram Messaging API</w:t>
            </w:r>
          </w:p>
        </w:tc>
        <w:tc>
          <w:tcPr>
            <w:tcW w:type="dxa" w:w="390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Recibir mensajes, mostrar mensajes interactivos de cobro, disparar el WebView de pago y recibir webhooks.</w:t>
            </w:r>
          </w:p>
        </w:tc>
      </w:tr>
      <w:tr>
        <w:trPr>
          <w:tblHeader w:val="false"/>
        </w:trPr>
        <w:tc>
          <w:tcPr>
            <w:tcW w:type="dxa" w:w="1700"/>
            <w:tcBorders>
              <w:top w:val="single" w:color="D9DED8" w:sz="1"/>
              <w:left w:val="single" w:color="D9DED8" w:sz="1"/>
              <w:bottom w:val="single" w:color="D9DED8" w:sz="1"/>
              <w:right w:val="single" w:color="D9DED8" w:sz="1"/>
            </w:tcBorders>
            <w:shd w:fill="F6F7F5" w:val="clear"/>
            <w:tcMar>
              <w:top w:type="dxa" w:w="80"/>
              <w:left w:type="dxa" w:w="120"/>
              <w:bottom w:type="dxa" w:w="80"/>
              <w:right w:type="dxa" w:w="120"/>
            </w:tcMar>
          </w:tcPr>
          <w:p>
            <w:pPr>
              <w:spacing w:after="0" w:line="264"/>
              <w:jc w:val="left"/>
            </w:pPr>
            <w:r>
              <w:rPr>
                <w:b w:val="false"/>
                <w:bCs w:val="false"/>
                <w:color w:val="0F1B16"/>
                <w:sz w:val="18"/>
                <w:szCs w:val="18"/>
              </w:rPr>
              <w:t xml:space="preserve">Pantalla de pago (WebView)</w:t>
            </w:r>
          </w:p>
        </w:tc>
        <w:tc>
          <w:tcPr>
            <w:tcW w:type="dxa" w:w="3760"/>
            <w:tcBorders>
              <w:top w:val="single" w:color="D9DED8" w:sz="1"/>
              <w:left w:val="single" w:color="D9DED8" w:sz="1"/>
              <w:bottom w:val="single" w:color="D9DED8" w:sz="1"/>
              <w:right w:val="single" w:color="D9DED8" w:sz="1"/>
            </w:tcBorders>
            <w:shd w:fill="F6F7F5" w:val="clear"/>
            <w:tcMar>
              <w:top w:type="dxa" w:w="80"/>
              <w:left w:type="dxa" w:w="120"/>
              <w:bottom w:type="dxa" w:w="80"/>
              <w:right w:type="dxa" w:w="120"/>
            </w:tcMar>
          </w:tcPr>
          <w:p>
            <w:pPr>
              <w:spacing w:after="0" w:line="264"/>
              <w:jc w:val="left"/>
            </w:pPr>
            <w:r>
              <w:rPr>
                <w:b w:val="false"/>
                <w:bCs w:val="false"/>
                <w:color w:val="0F1B16"/>
                <w:sz w:val="18"/>
                <w:szCs w:val="18"/>
              </w:rPr>
              <w:t xml:space="preserve">Front web propio de Accesly servido en un WebView embebido, disparado desde el chat por botón de URL o WhatsApp Flows</w:t>
            </w:r>
          </w:p>
        </w:tc>
        <w:tc>
          <w:tcPr>
            <w:tcW w:type="dxa" w:w="3900"/>
            <w:tcBorders>
              <w:top w:val="single" w:color="D9DED8" w:sz="1"/>
              <w:left w:val="single" w:color="D9DED8" w:sz="1"/>
              <w:bottom w:val="single" w:color="D9DED8" w:sz="1"/>
              <w:right w:val="single" w:color="D9DED8" w:sz="1"/>
            </w:tcBorders>
            <w:shd w:fill="F6F7F5" w:val="clear"/>
            <w:tcMar>
              <w:top w:type="dxa" w:w="80"/>
              <w:left w:type="dxa" w:w="120"/>
              <w:bottom w:type="dxa" w:w="80"/>
              <w:right w:type="dxa" w:w="120"/>
            </w:tcMar>
          </w:tcPr>
          <w:p>
            <w:pPr>
              <w:spacing w:after="0" w:line="264"/>
              <w:jc w:val="left"/>
            </w:pPr>
            <w:r>
              <w:rPr>
                <w:b w:val="false"/>
                <w:bCs w:val="false"/>
                <w:color w:val="0F1B16"/>
                <w:sz w:val="18"/>
                <w:szCs w:val="18"/>
              </w:rPr>
              <w:t xml:space="preserve">Renderizar la experiencia de pago configurable (passkey, biometría, confirmación) dentro de WhatsApp. Es la única capa donde Accesly controla el diseño 100%.</w:t>
            </w:r>
          </w:p>
        </w:tc>
      </w:tr>
      <w:tr>
        <w:trPr>
          <w:tblHeader w:val="false"/>
        </w:trPr>
        <w:tc>
          <w:tcPr>
            <w:tcW w:type="dxa" w:w="170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Orquestación (Accesly Core)</w:t>
            </w:r>
          </w:p>
        </w:tc>
        <w:tc>
          <w:tcPr>
            <w:tcW w:type="dxa" w:w="376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API Gateway, motor de cobros, máquina de estados de pago, webhooks, idempotencia, ledger interno (espejo, no custodia)</w:t>
            </w:r>
          </w:p>
        </w:tc>
        <w:tc>
          <w:tcPr>
            <w:tcW w:type="dxa" w:w="390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Coordinar el flujo: crear intención de cobro, llamar a Etherfuse, registrar estados, calcular el partner fee, notificar al canal.</w:t>
            </w:r>
          </w:p>
        </w:tc>
      </w:tr>
      <w:tr>
        <w:trPr>
          <w:tblHeader w:val="false"/>
        </w:trPr>
        <w:tc>
          <w:tcPr>
            <w:tcW w:type="dxa" w:w="1700"/>
            <w:tcBorders>
              <w:top w:val="single" w:color="D9DED8" w:sz="1"/>
              <w:left w:val="single" w:color="D9DED8" w:sz="1"/>
              <w:bottom w:val="single" w:color="D9DED8" w:sz="1"/>
              <w:right w:val="single" w:color="D9DED8" w:sz="1"/>
            </w:tcBorders>
            <w:shd w:fill="F6F7F5" w:val="clear"/>
            <w:tcMar>
              <w:top w:type="dxa" w:w="80"/>
              <w:left w:type="dxa" w:w="120"/>
              <w:bottom w:type="dxa" w:w="80"/>
              <w:right w:type="dxa" w:w="120"/>
            </w:tcMar>
          </w:tcPr>
          <w:p>
            <w:pPr>
              <w:spacing w:after="0" w:line="264"/>
              <w:jc w:val="left"/>
            </w:pPr>
            <w:r>
              <w:rPr>
                <w:b w:val="false"/>
                <w:bCs w:val="false"/>
                <w:color w:val="0F1B16"/>
                <w:sz w:val="18"/>
                <w:szCs w:val="18"/>
              </w:rPr>
              <w:t xml:space="preserve">Identidad y wallet</w:t>
            </w:r>
          </w:p>
        </w:tc>
        <w:tc>
          <w:tcPr>
            <w:tcW w:type="dxa" w:w="3760"/>
            <w:tcBorders>
              <w:top w:val="single" w:color="D9DED8" w:sz="1"/>
              <w:left w:val="single" w:color="D9DED8" w:sz="1"/>
              <w:bottom w:val="single" w:color="D9DED8" w:sz="1"/>
              <w:right w:val="single" w:color="D9DED8" w:sz="1"/>
            </w:tcBorders>
            <w:shd w:fill="F6F7F5" w:val="clear"/>
            <w:tcMar>
              <w:top w:type="dxa" w:w="80"/>
              <w:left w:type="dxa" w:w="120"/>
              <w:bottom w:type="dxa" w:w="80"/>
              <w:right w:type="dxa" w:w="120"/>
            </w:tcMar>
          </w:tcPr>
          <w:p>
            <w:pPr>
              <w:spacing w:after="0" w:line="264"/>
              <w:jc w:val="left"/>
            </w:pPr>
            <w:r>
              <w:rPr>
                <w:b w:val="false"/>
                <w:bCs w:val="false"/>
                <w:color w:val="0F1B16"/>
                <w:sz w:val="18"/>
                <w:szCs w:val="18"/>
              </w:rPr>
              <w:t xml:space="preserve">Servicio de Account Abstraction: passkey/WebAuthn, MPC 2-de-3, KMS, recuperación</w:t>
            </w:r>
          </w:p>
        </w:tc>
        <w:tc>
          <w:tcPr>
            <w:tcW w:type="dxa" w:w="3900"/>
            <w:tcBorders>
              <w:top w:val="single" w:color="D9DED8" w:sz="1"/>
              <w:left w:val="single" w:color="D9DED8" w:sz="1"/>
              <w:bottom w:val="single" w:color="D9DED8" w:sz="1"/>
              <w:right w:val="single" w:color="D9DED8" w:sz="1"/>
            </w:tcBorders>
            <w:shd w:fill="F6F7F5" w:val="clear"/>
            <w:tcMar>
              <w:top w:type="dxa" w:w="80"/>
              <w:left w:type="dxa" w:w="120"/>
              <w:bottom w:type="dxa" w:w="80"/>
              <w:right w:type="dxa" w:w="120"/>
            </w:tcMar>
          </w:tcPr>
          <w:p>
            <w:pPr>
              <w:spacing w:after="0" w:line="264"/>
              <w:jc w:val="left"/>
            </w:pPr>
            <w:r>
              <w:rPr>
                <w:b w:val="false"/>
                <w:bCs w:val="false"/>
                <w:color w:val="0F1B16"/>
                <w:sz w:val="18"/>
                <w:szCs w:val="18"/>
              </w:rPr>
              <w:t xml:space="preserve">Crear y custodiar (del lado del usuario) las wallets no custodiales. Firmar con quórum que siempre exige al usuario.</w:t>
            </w:r>
          </w:p>
        </w:tc>
      </w:tr>
      <w:tr>
        <w:trPr>
          <w:tblHeader w:val="false"/>
        </w:trPr>
        <w:tc>
          <w:tcPr>
            <w:tcW w:type="dxa" w:w="170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IA / Agentes</w:t>
            </w:r>
          </w:p>
        </w:tc>
        <w:tc>
          <w:tcPr>
            <w:tcW w:type="dxa" w:w="376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Orquestador de agentes, contador de uso (metering), saldo de IA, herramientas (Calendar/Gmail/Sheets/Drive)</w:t>
            </w:r>
          </w:p>
        </w:tc>
        <w:tc>
          <w:tcPr>
            <w:tcW w:type="dxa" w:w="390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Atender en el chat, medir consumo por uso, disparar cobros pay-as-you-go, ejecutar acciones en herramientas conectadas.</w:t>
            </w:r>
          </w:p>
        </w:tc>
      </w:tr>
      <w:tr>
        <w:trPr>
          <w:tblHeader w:val="false"/>
        </w:trPr>
        <w:tc>
          <w:tcPr>
            <w:tcW w:type="dxa" w:w="1700"/>
            <w:tcBorders>
              <w:top w:val="single" w:color="D9DED8" w:sz="1"/>
              <w:left w:val="single" w:color="D9DED8" w:sz="1"/>
              <w:bottom w:val="single" w:color="D9DED8" w:sz="1"/>
              <w:right w:val="single" w:color="D9DED8" w:sz="1"/>
            </w:tcBorders>
            <w:shd w:fill="F6F7F5" w:val="clear"/>
            <w:tcMar>
              <w:top w:type="dxa" w:w="80"/>
              <w:left w:type="dxa" w:w="120"/>
              <w:bottom w:type="dxa" w:w="80"/>
              <w:right w:type="dxa" w:w="120"/>
            </w:tcMar>
          </w:tcPr>
          <w:p>
            <w:pPr>
              <w:spacing w:after="0" w:line="264"/>
              <w:jc w:val="left"/>
            </w:pPr>
            <w:r>
              <w:rPr>
                <w:b w:val="false"/>
                <w:bCs w:val="false"/>
                <w:color w:val="0F1B16"/>
                <w:sz w:val="18"/>
                <w:szCs w:val="18"/>
              </w:rPr>
              <w:t xml:space="preserve">Ramp regulado</w:t>
            </w:r>
          </w:p>
        </w:tc>
        <w:tc>
          <w:tcPr>
            <w:tcW w:type="dxa" w:w="3760"/>
            <w:tcBorders>
              <w:top w:val="single" w:color="D9DED8" w:sz="1"/>
              <w:left w:val="single" w:color="D9DED8" w:sz="1"/>
              <w:bottom w:val="single" w:color="D9DED8" w:sz="1"/>
              <w:right w:val="single" w:color="D9DED8" w:sz="1"/>
            </w:tcBorders>
            <w:shd w:fill="F6F7F5" w:val="clear"/>
            <w:tcMar>
              <w:top w:type="dxa" w:w="80"/>
              <w:left w:type="dxa" w:w="120"/>
              <w:bottom w:type="dxa" w:w="80"/>
              <w:right w:type="dxa" w:w="120"/>
            </w:tcMar>
          </w:tcPr>
          <w:p>
            <w:pPr>
              <w:spacing w:after="0" w:line="264"/>
              <w:jc w:val="left"/>
            </w:pPr>
            <w:r>
              <w:rPr>
                <w:b w:val="false"/>
                <w:bCs w:val="false"/>
                <w:color w:val="0F1B16"/>
                <w:sz w:val="18"/>
                <w:szCs w:val="18"/>
              </w:rPr>
              <w:t xml:space="preserve">Etherfuse FX API (onramp, offramp, swap), CLABE de depósito, KYC/KYB</w:t>
            </w:r>
          </w:p>
        </w:tc>
        <w:tc>
          <w:tcPr>
            <w:tcW w:type="dxa" w:w="3900"/>
            <w:tcBorders>
              <w:top w:val="single" w:color="D9DED8" w:sz="1"/>
              <w:left w:val="single" w:color="D9DED8" w:sz="1"/>
              <w:bottom w:val="single" w:color="D9DED8" w:sz="1"/>
              <w:right w:val="single" w:color="D9DED8" w:sz="1"/>
            </w:tcBorders>
            <w:shd w:fill="F6F7F5" w:val="clear"/>
            <w:tcMar>
              <w:top w:type="dxa" w:w="80"/>
              <w:left w:type="dxa" w:w="120"/>
              <w:bottom w:type="dxa" w:w="80"/>
              <w:right w:type="dxa" w:w="120"/>
            </w:tcMar>
          </w:tcPr>
          <w:p>
            <w:pPr>
              <w:spacing w:after="0" w:line="264"/>
              <w:jc w:val="left"/>
            </w:pPr>
            <w:r>
              <w:rPr>
                <w:b w:val="false"/>
                <w:bCs w:val="false"/>
                <w:color w:val="0F1B16"/>
                <w:sz w:val="18"/>
                <w:szCs w:val="18"/>
              </w:rPr>
              <w:t xml:space="preserve">Convertir fiat↔USDC, ser el sujeto obligado, hacer KYC/KYB, mover el dinero fiat por SPEI.</w:t>
            </w:r>
          </w:p>
        </w:tc>
      </w:tr>
      <w:tr>
        <w:trPr>
          <w:tblHeader w:val="false"/>
        </w:trPr>
        <w:tc>
          <w:tcPr>
            <w:tcW w:type="dxa" w:w="170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Liquidación</w:t>
            </w:r>
          </w:p>
        </w:tc>
        <w:tc>
          <w:tcPr>
            <w:tcW w:type="dxa" w:w="376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Stellar (USDC de Circle), trustlines, claimable balances, fee-bump</w:t>
            </w:r>
          </w:p>
        </w:tc>
        <w:tc>
          <w:tcPr>
            <w:tcW w:type="dxa" w:w="390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Asentar el valor on-chain de forma atómica, instantánea y barata.</w:t>
            </w:r>
          </w:p>
        </w:tc>
      </w:tr>
    </w:tbl>
    <w:p>
      <w:pPr>
        <w:pStyle w:val="Heading1"/>
      </w:pPr>
      <w:r>
        <w:t xml:space="preserve">3. La pantalla de pago va por WebView embebido</w:t>
      </w:r>
    </w:p>
    <w:p>
      <w:pPr>
        <w:spacing w:after="120" w:line="276"/>
      </w:pPr>
      <w:r>
        <w:t xml:space="preserve">Punto crítico de arquitectura y de expectativas: </w:t>
      </w:r>
      <w:r>
        <w:rPr>
          <w:b/>
          <w:bCs/>
        </w:rPr>
        <w:t xml:space="preserve">el chat de WhatsApp NO es configurable como un front propio</w:t>
      </w:r>
      <w:r>
        <w:t xml:space="preserve">. Dentro del chat solo se puede enviar lo que Meta permite (texto, botones, listas, carrusel y formularios de WhatsApp Flows con componentes de Meta). No es posible inyectar HTML/CSS propio, ni la hoja biométrica, ni las animaciones del demo dentro de la conversación.</w:t>
      </w:r>
    </w:p>
    <w:p>
      <w:pPr>
        <w:spacing w:after="120" w:line="276"/>
      </w:pPr>
      <w:r>
        <w:t xml:space="preserve">Por eso, toda la experiencia de pago de Accesly (passkey, biometría, confirmación, cripto invisible) </w:t>
      </w:r>
      <w:r>
        <w:rPr>
          <w:b/>
          <w:bCs/>
        </w:rPr>
        <w:t xml:space="preserve">se sirve como un WebView embebido</w:t>
      </w:r>
      <w:r>
        <w:t xml:space="preserve">: una vista web propia de Accesly que se abre desde el chat. Ese WebView es la </w:t>
      </w:r>
      <w:r>
        <w:rPr>
          <w:b/>
          <w:bCs/>
        </w:rPr>
        <w:t xml:space="preserve">única capa donde Accesly controla el diseño al 100%</w:t>
      </w:r>
      <w:r>
        <w:t xml:space="preserve">, y es exactamente lo que muestra el demo. Es el mismo patrón que usan los competidores del sector (por ejemplo Jelou, cuya experiencia de pago es un "WebView embebido" que delega el checkout al proveedor).</w:t>
      </w:r>
    </w:p>
    <w:p>
      <w:pPr>
        <w:pStyle w:val="Heading2"/>
      </w:pPr>
      <w:r>
        <w:t xml:space="preserve">3.1 Cómo se dispara el WebView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D9DED8" w:sz="1"/>
              <w:left w:val="single" w:color="D9DED8" w:sz="1"/>
              <w:bottom w:val="single" w:color="D9DED8" w:sz="1"/>
              <w:right w:val="single" w:color="D9DED8" w:sz="1"/>
            </w:tcBorders>
            <w:shd w:fill="0F1B16" w:val="clear"/>
            <w:tcMar>
              <w:top w:type="dxa" w:w="80"/>
              <w:left w:type="dxa" w:w="120"/>
              <w:bottom w:type="dxa" w:w="80"/>
              <w:right w:type="dxa" w:w="120"/>
            </w:tcMar>
          </w:tcPr>
          <w:p>
            <w:pPr>
              <w:spacing w:after="0" w:line="264"/>
              <w:jc w:val="left"/>
            </w:pPr>
            <w:r>
              <w:rPr>
                <w:b/>
                <w:bCs/>
                <w:color w:val="FFFFFF"/>
                <w:sz w:val="19"/>
                <w:szCs w:val="19"/>
              </w:rPr>
              <w:t xml:space="preserve">Disparador</w:t>
            </w:r>
          </w:p>
        </w:tc>
        <w:tc>
          <w:tcPr>
            <w:tcW w:type="dxa" w:w="4360"/>
            <w:tcBorders>
              <w:top w:val="single" w:color="D9DED8" w:sz="1"/>
              <w:left w:val="single" w:color="D9DED8" w:sz="1"/>
              <w:bottom w:val="single" w:color="D9DED8" w:sz="1"/>
              <w:right w:val="single" w:color="D9DED8" w:sz="1"/>
            </w:tcBorders>
            <w:shd w:fill="0F1B16" w:val="clear"/>
            <w:tcMar>
              <w:top w:type="dxa" w:w="80"/>
              <w:left w:type="dxa" w:w="120"/>
              <w:bottom w:type="dxa" w:w="80"/>
              <w:right w:type="dxa" w:w="120"/>
            </w:tcMar>
          </w:tcPr>
          <w:p>
            <w:pPr>
              <w:spacing w:after="0" w:line="264"/>
              <w:jc w:val="left"/>
            </w:pPr>
            <w:r>
              <w:rPr>
                <w:b/>
                <w:bCs/>
                <w:color w:val="FFFFFF"/>
                <w:sz w:val="19"/>
                <w:szCs w:val="19"/>
              </w:rPr>
              <w:t xml:space="preserve">Comportamiento</w:t>
            </w:r>
          </w:p>
        </w:tc>
        <w:tc>
          <w:tcPr>
            <w:tcW w:type="dxa" w:w="2600"/>
            <w:tcBorders>
              <w:top w:val="single" w:color="D9DED8" w:sz="1"/>
              <w:left w:val="single" w:color="D9DED8" w:sz="1"/>
              <w:bottom w:val="single" w:color="D9DED8" w:sz="1"/>
              <w:right w:val="single" w:color="D9DED8" w:sz="1"/>
            </w:tcBorders>
            <w:shd w:fill="0F1B16" w:val="clear"/>
            <w:tcMar>
              <w:top w:type="dxa" w:w="80"/>
              <w:left w:type="dxa" w:w="120"/>
              <w:bottom w:type="dxa" w:w="80"/>
              <w:right w:type="dxa" w:w="120"/>
            </w:tcMar>
          </w:tcPr>
          <w:p>
            <w:pPr>
              <w:spacing w:after="0" w:line="264"/>
              <w:jc w:val="left"/>
            </w:pPr>
            <w:r>
              <w:rPr>
                <w:b/>
                <w:bCs/>
                <w:color w:val="FFFFFF"/>
                <w:sz w:val="19"/>
                <w:szCs w:val="19"/>
              </w:rPr>
              <w:t xml:space="preserve">Cuándo usarlo</w:t>
            </w:r>
          </w:p>
        </w:tc>
      </w:tr>
      <w:tr>
        <w:trPr>
          <w:tblHeader w:val="false"/>
        </w:trPr>
        <w:tc>
          <w:tcPr>
            <w:tcW w:type="dxa" w:w="240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Botón de URL (interactive CTA)</w:t>
            </w:r>
          </w:p>
        </w:tc>
        <w:tc>
          <w:tcPr>
            <w:tcW w:type="dxa" w:w="436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Un botón en el chat abre la URL del WebView de Accesly. Según cliente/SO puede abrirse como capa dentro de WhatsApp o en el navegador.</w:t>
            </w:r>
          </w:p>
        </w:tc>
        <w:tc>
          <w:tcPr>
            <w:tcW w:type="dxa" w:w="260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Flujo de pago estándar: simple y directo.</w:t>
            </w:r>
          </w:p>
        </w:tc>
      </w:tr>
      <w:tr>
        <w:trPr>
          <w:tblHeader w:val="false"/>
        </w:trPr>
        <w:tc>
          <w:tcPr>
            <w:tcW w:type="dxa" w:w="2400"/>
            <w:tcBorders>
              <w:top w:val="single" w:color="D9DED8" w:sz="1"/>
              <w:left w:val="single" w:color="D9DED8" w:sz="1"/>
              <w:bottom w:val="single" w:color="D9DED8" w:sz="1"/>
              <w:right w:val="single" w:color="D9DED8" w:sz="1"/>
            </w:tcBorders>
            <w:shd w:fill="F6F7F5" w:val="clear"/>
            <w:tcMar>
              <w:top w:type="dxa" w:w="80"/>
              <w:left w:type="dxa" w:w="120"/>
              <w:bottom w:type="dxa" w:w="80"/>
              <w:right w:type="dxa" w:w="120"/>
            </w:tcMar>
          </w:tcPr>
          <w:p>
            <w:pPr>
              <w:spacing w:after="0" w:line="264"/>
              <w:jc w:val="left"/>
            </w:pPr>
            <w:r>
              <w:rPr>
                <w:b w:val="false"/>
                <w:bCs w:val="false"/>
                <w:color w:val="0F1B16"/>
                <w:sz w:val="18"/>
                <w:szCs w:val="18"/>
              </w:rPr>
              <w:t xml:space="preserve">WhatsApp Flows</w:t>
            </w:r>
          </w:p>
        </w:tc>
        <w:tc>
          <w:tcPr>
            <w:tcW w:type="dxa" w:w="4360"/>
            <w:tcBorders>
              <w:top w:val="single" w:color="D9DED8" w:sz="1"/>
              <w:left w:val="single" w:color="D9DED8" w:sz="1"/>
              <w:bottom w:val="single" w:color="D9DED8" w:sz="1"/>
              <w:right w:val="single" w:color="D9DED8" w:sz="1"/>
            </w:tcBorders>
            <w:shd w:fill="F6F7F5" w:val="clear"/>
            <w:tcMar>
              <w:top w:type="dxa" w:w="80"/>
              <w:left w:type="dxa" w:w="120"/>
              <w:bottom w:type="dxa" w:w="80"/>
              <w:right w:type="dxa" w:w="120"/>
            </w:tcMar>
          </w:tcPr>
          <w:p>
            <w:pPr>
              <w:spacing w:after="0" w:line="264"/>
              <w:jc w:val="left"/>
            </w:pPr>
            <w:r>
              <w:rPr>
                <w:b w:val="false"/>
                <w:bCs w:val="false"/>
                <w:color w:val="0F1B16"/>
                <w:sz w:val="18"/>
                <w:szCs w:val="18"/>
              </w:rPr>
              <w:t xml:space="preserve">Formulario renderizado por Meta dentro de WhatsApp (componentes de Meta), que puede encadenar hacia el WebView de Accesly para la parte sensible.</w:t>
            </w:r>
          </w:p>
        </w:tc>
        <w:tc>
          <w:tcPr>
            <w:tcW w:type="dxa" w:w="2600"/>
            <w:tcBorders>
              <w:top w:val="single" w:color="D9DED8" w:sz="1"/>
              <w:left w:val="single" w:color="D9DED8" w:sz="1"/>
              <w:bottom w:val="single" w:color="D9DED8" w:sz="1"/>
              <w:right w:val="single" w:color="D9DED8" w:sz="1"/>
            </w:tcBorders>
            <w:shd w:fill="F6F7F5" w:val="clear"/>
            <w:tcMar>
              <w:top w:type="dxa" w:w="80"/>
              <w:left w:type="dxa" w:w="120"/>
              <w:bottom w:type="dxa" w:w="80"/>
              <w:right w:type="dxa" w:w="120"/>
            </w:tcMar>
          </w:tcPr>
          <w:p>
            <w:pPr>
              <w:spacing w:after="0" w:line="264"/>
              <w:jc w:val="left"/>
            </w:pPr>
            <w:r>
              <w:rPr>
                <w:b w:val="false"/>
                <w:bCs w:val="false"/>
                <w:color w:val="0F1B16"/>
                <w:sz w:val="18"/>
                <w:szCs w:val="18"/>
              </w:rPr>
              <w:t xml:space="preserve">Cuando se quiere un paso nativo de Meta antes de saltar al pago propio.</w:t>
            </w:r>
          </w:p>
        </w:tc>
      </w:tr>
    </w:tbl>
    <w:p>
      <w:pPr>
        <w:spacing w:after="120" w:line="276"/>
      </w:pPr>
      <w:r>
        <w:t xml:space="preserve">Importante: el WebView </w:t>
      </w:r>
      <w:r>
        <w:rPr>
          <w:b/>
          <w:bCs/>
        </w:rPr>
        <w:t xml:space="preserve">se abre dentro de WhatsApp</w:t>
      </w:r>
      <w:r>
        <w:t xml:space="preserve"> (no saca al usuario a un navegador externo) para mantener la continuidad conversacional y que se sienta nativo. Servir la pantalla en el navegador externo degrada la experiencia y se debe evitar.</w:t>
      </w:r>
    </w:p>
    <w:p>
      <w:pPr>
        <w:pStyle w:val="Heading2"/>
      </w:pPr>
      <w:r>
        <w:t xml:space="preserve">3.2 El cierre del ciclo (regreso al chat)</w:t>
      </w:r>
    </w:p>
    <w:p>
      <w:pPr>
        <w:pStyle w:val="ListParagraph"/>
        <w:numPr>
          <w:ilvl w:val="0"/>
          <w:numId w:val="3"/>
        </w:numPr>
        <w:spacing w:after="80" w:line="276"/>
      </w:pPr>
      <w:r>
        <w:t xml:space="preserve">El cliente toca el botón de cobro en el chat. Se abre el WebView de Accesly dentro de WhatsApp.</w:t>
      </w:r>
    </w:p>
    <w:p>
      <w:pPr>
        <w:pStyle w:val="ListParagraph"/>
        <w:numPr>
          <w:ilvl w:val="0"/>
          <w:numId w:val="3"/>
        </w:numPr>
        <w:spacing w:after="80" w:line="276"/>
      </w:pPr>
      <w:r>
        <w:t xml:space="preserve">En el WebView ocurre todo lo configurable: passkey/biometría, confirmación, firma; el pago se liquida en Stellar/USDC vía Etherfuse (invisible para el cliente).</w:t>
      </w:r>
    </w:p>
    <w:p>
      <w:pPr>
        <w:pStyle w:val="ListParagraph"/>
        <w:numPr>
          <w:ilvl w:val="0"/>
          <w:numId w:val="3"/>
        </w:numPr>
        <w:spacing w:after="80" w:line="276"/>
      </w:pPr>
      <w:r>
        <w:t xml:space="preserve">Al confirmarse el pago, el backend de Accesly envía un mensaje de confirmación al chat vía la Message API ("Pagado · al instante").</w:t>
      </w:r>
    </w:p>
    <w:p>
      <w:pPr>
        <w:pStyle w:val="ListParagraph"/>
        <w:numPr>
          <w:ilvl w:val="0"/>
          <w:numId w:val="3"/>
        </w:numPr>
        <w:spacing w:after="80" w:line="276"/>
      </w:pPr>
      <w:r>
        <w:t xml:space="preserve">El webhook de WhatsApp notifica los estatus (entregado, leído, respuestas) y mantiene el chat y el WebView sincronizados.</w:t>
      </w:r>
    </w:p>
    <w:p>
      <w:pPr>
        <w:pStyle w:val="Heading2"/>
      </w:pPr>
      <w:r>
        <w:t xml:space="preserve">3.3 Restricciones de canal a tener presentes</w:t>
      </w:r>
    </w:p>
    <w:p>
      <w:pPr>
        <w:pStyle w:val="ListParagraph"/>
        <w:numPr>
          <w:ilvl w:val="0"/>
          <w:numId w:val="2"/>
        </w:numPr>
        <w:spacing w:after="80" w:line="276"/>
      </w:pPr>
      <w:r>
        <w:rPr>
          <w:b/>
          <w:bCs/>
        </w:rPr>
        <w:t xml:space="preserve">Sin pago nativo en México: </w:t>
      </w:r>
      <w:r>
        <w:t xml:space="preserve">WhatsApp Pay nativo solo existe en India, Brasil y Singapur. En México el cobro real siempre pasa por el WebView, no "dentro" del chat.</w:t>
      </w:r>
    </w:p>
    <w:p>
      <w:pPr>
        <w:pStyle w:val="ListParagraph"/>
        <w:numPr>
          <w:ilvl w:val="0"/>
          <w:numId w:val="2"/>
        </w:numPr>
        <w:spacing w:after="80" w:line="276"/>
      </w:pPr>
      <w:r>
        <w:rPr>
          <w:b/>
          <w:bCs/>
        </w:rPr>
        <w:t xml:space="preserve">Ventana de 24 horas: </w:t>
      </w:r>
      <w:r>
        <w:t xml:space="preserve">fuera de las 24 h desde el último mensaje del cliente, solo se puede iniciar con plantillas pre-aprobadas por Meta. El re-enganche y los recurrentes dependen de plantillas aprobadas.</w:t>
      </w:r>
    </w:p>
    <w:p>
      <w:pPr>
        <w:pStyle w:val="ListParagraph"/>
        <w:numPr>
          <w:ilvl w:val="0"/>
          <w:numId w:val="2"/>
        </w:numPr>
        <w:spacing w:after="80" w:line="276"/>
      </w:pPr>
      <w:r>
        <w:rPr>
          <w:b/>
          <w:bCs/>
        </w:rPr>
        <w:t xml:space="preserve">Verificación y plantillas: </w:t>
      </w:r>
      <w:r>
        <w:t xml:space="preserve">se requiere cuenta de WhatsApp Business API verificada y plantillas aprobadas; cumplir la Commerce Policy de Meta (que prohíbe promover cripto, lo que refuerza el enfoque de cripto invisible).</w:t>
      </w:r>
    </w:p>
    <w:p>
      <w:pPr>
        <w:spacing w:after="120" w:line="276"/>
      </w:pPr>
      <w:r>
        <w:rPr>
          <w:b/>
          <w:bCs/>
        </w:rPr>
        <w:t xml:space="preserve">Mensaje para ventas: </w:t>
      </w:r>
      <w:r>
        <w:t xml:space="preserve">no prometer un pago idéntico al demo "dentro" de WhatsApp. La promesa entregable y honesta es: el cliente toca un botón en WhatsApp, se abre una pantalla de Accesly (rápida, con biometría, sin cripto) dentro de la app, y vuelve al chat con el pago hecho al instante.</w:t>
      </w:r>
    </w:p>
    <w:p>
      <w:pPr>
        <w:pStyle w:val="Heading1"/>
      </w:pPr>
      <w:r>
        <w:t xml:space="preserve">4. Identidad y wallet (Account Abstraction)</w:t>
      </w:r>
    </w:p>
    <w:p>
      <w:pPr>
        <w:spacing w:after="120" w:line="276"/>
      </w:pPr>
      <w:r>
        <w:t xml:space="preserve">La wallet es el corazón de la baja fricción. Se crea en el onboarding con </w:t>
      </w:r>
      <w:r>
        <w:rPr>
          <w:b/>
          <w:bCs/>
        </w:rPr>
        <w:t xml:space="preserve">passkey (WebAuthn)</w:t>
      </w:r>
      <w:r>
        <w:t xml:space="preserve"> ligada al </w:t>
      </w:r>
      <w:r>
        <w:rPr>
          <w:b/>
          <w:bCs/>
        </w:rPr>
        <w:t xml:space="preserve">número de teléfono</w:t>
      </w:r>
      <w:r>
        <w:t xml:space="preserve">, sin contraseñas ni frase semilla, y es </w:t>
      </w:r>
      <w:r>
        <w:rPr>
          <w:b/>
          <w:bCs/>
        </w:rPr>
        <w:t xml:space="preserve">universal</w:t>
      </w:r>
      <w:r>
        <w:t xml:space="preserve">: una sola sirve para todas las redes y negocios.</w:t>
      </w:r>
    </w:p>
    <w:p>
      <w:pPr>
        <w:pStyle w:val="Heading2"/>
      </w:pPr>
      <w:r>
        <w:t xml:space="preserve">4.1 Esquema de llaves MPC 2-de-3</w:t>
      </w:r>
    </w:p>
    <w:p>
      <w:pPr>
        <w:spacing w:after="120" w:line="276"/>
      </w:pPr>
      <w:r>
        <w:t xml:space="preserve">La llave se divide en tres fragmentos. Mover fondos exige reconstruir el quórum, y el quórum siempre requiere el fragmento del usuario, lo que mantiene la no custodia: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4060"/>
      </w:tblGrid>
      <w:tr>
        <w:trPr>
          <w:tblHeader/>
        </w:trPr>
        <w:tc>
          <w:tcPr>
            <w:tcW w:type="dxa" w:w="2100"/>
            <w:tcBorders>
              <w:top w:val="single" w:color="D9DED8" w:sz="1"/>
              <w:left w:val="single" w:color="D9DED8" w:sz="1"/>
              <w:bottom w:val="single" w:color="D9DED8" w:sz="1"/>
              <w:right w:val="single" w:color="D9DED8" w:sz="1"/>
            </w:tcBorders>
            <w:shd w:fill="0F1B16" w:val="clear"/>
            <w:tcMar>
              <w:top w:type="dxa" w:w="80"/>
              <w:left w:type="dxa" w:w="120"/>
              <w:bottom w:type="dxa" w:w="80"/>
              <w:right w:type="dxa" w:w="120"/>
            </w:tcMar>
          </w:tcPr>
          <w:p>
            <w:pPr>
              <w:spacing w:after="0" w:line="264"/>
              <w:jc w:val="left"/>
            </w:pPr>
            <w:r>
              <w:rPr>
                <w:b/>
                <w:bCs/>
                <w:color w:val="FFFFFF"/>
                <w:sz w:val="19"/>
                <w:szCs w:val="19"/>
              </w:rPr>
              <w:t xml:space="preserve">Fragmento</w:t>
            </w:r>
          </w:p>
        </w:tc>
        <w:tc>
          <w:tcPr>
            <w:tcW w:type="dxa" w:w="3200"/>
            <w:tcBorders>
              <w:top w:val="single" w:color="D9DED8" w:sz="1"/>
              <w:left w:val="single" w:color="D9DED8" w:sz="1"/>
              <w:bottom w:val="single" w:color="D9DED8" w:sz="1"/>
              <w:right w:val="single" w:color="D9DED8" w:sz="1"/>
            </w:tcBorders>
            <w:shd w:fill="0F1B16" w:val="clear"/>
            <w:tcMar>
              <w:top w:type="dxa" w:w="80"/>
              <w:left w:type="dxa" w:w="120"/>
              <w:bottom w:type="dxa" w:w="80"/>
              <w:right w:type="dxa" w:w="120"/>
            </w:tcMar>
          </w:tcPr>
          <w:p>
            <w:pPr>
              <w:spacing w:after="0" w:line="264"/>
              <w:jc w:val="left"/>
            </w:pPr>
            <w:r>
              <w:rPr>
                <w:b/>
                <w:bCs/>
                <w:color w:val="FFFFFF"/>
                <w:sz w:val="19"/>
                <w:szCs w:val="19"/>
              </w:rPr>
              <w:t xml:space="preserve">Dónde vive</w:t>
            </w:r>
          </w:p>
        </w:tc>
        <w:tc>
          <w:tcPr>
            <w:tcW w:type="dxa" w:w="4060"/>
            <w:tcBorders>
              <w:top w:val="single" w:color="D9DED8" w:sz="1"/>
              <w:left w:val="single" w:color="D9DED8" w:sz="1"/>
              <w:bottom w:val="single" w:color="D9DED8" w:sz="1"/>
              <w:right w:val="single" w:color="D9DED8" w:sz="1"/>
            </w:tcBorders>
            <w:shd w:fill="0F1B16" w:val="clear"/>
            <w:tcMar>
              <w:top w:type="dxa" w:w="80"/>
              <w:left w:type="dxa" w:w="120"/>
              <w:bottom w:type="dxa" w:w="80"/>
              <w:right w:type="dxa" w:w="120"/>
            </w:tcMar>
          </w:tcPr>
          <w:p>
            <w:pPr>
              <w:spacing w:after="0" w:line="264"/>
              <w:jc w:val="left"/>
            </w:pPr>
            <w:r>
              <w:rPr>
                <w:b/>
                <w:bCs/>
                <w:color w:val="FFFFFF"/>
                <w:sz w:val="19"/>
                <w:szCs w:val="19"/>
              </w:rPr>
              <w:t xml:space="preserve">Cómo se protege / desbloquea</w:t>
            </w:r>
          </w:p>
        </w:tc>
      </w:tr>
      <w:tr>
        <w:trPr>
          <w:tblHeader w:val="false"/>
        </w:trPr>
        <w:tc>
          <w:tcPr>
            <w:tcW w:type="dxa" w:w="210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1. Dispositivo</w:t>
            </w:r>
          </w:p>
        </w:tc>
        <w:tc>
          <w:tcPr>
            <w:tcW w:type="dxa" w:w="320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Secure Enclave del teléfono del usuario</w:t>
            </w:r>
          </w:p>
        </w:tc>
        <w:tc>
          <w:tcPr>
            <w:tcW w:type="dxa" w:w="406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Passkey/biometría (Face ID, huella). Nunca sale del dispositivo.</w:t>
            </w:r>
          </w:p>
        </w:tc>
      </w:tr>
      <w:tr>
        <w:trPr>
          <w:tblHeader w:val="false"/>
        </w:trPr>
        <w:tc>
          <w:tcPr>
            <w:tcW w:type="dxa" w:w="2100"/>
            <w:tcBorders>
              <w:top w:val="single" w:color="D9DED8" w:sz="1"/>
              <w:left w:val="single" w:color="D9DED8" w:sz="1"/>
              <w:bottom w:val="single" w:color="D9DED8" w:sz="1"/>
              <w:right w:val="single" w:color="D9DED8" w:sz="1"/>
            </w:tcBorders>
            <w:shd w:fill="F6F7F5" w:val="clear"/>
            <w:tcMar>
              <w:top w:type="dxa" w:w="80"/>
              <w:left w:type="dxa" w:w="120"/>
              <w:bottom w:type="dxa" w:w="80"/>
              <w:right w:type="dxa" w:w="120"/>
            </w:tcMar>
          </w:tcPr>
          <w:p>
            <w:pPr>
              <w:spacing w:after="0" w:line="264"/>
              <w:jc w:val="left"/>
            </w:pPr>
            <w:r>
              <w:rPr>
                <w:b w:val="false"/>
                <w:bCs w:val="false"/>
                <w:color w:val="0F1B16"/>
                <w:sz w:val="18"/>
                <w:szCs w:val="18"/>
              </w:rPr>
              <w:t xml:space="preserve">2. Accesly KMS</w:t>
            </w:r>
          </w:p>
        </w:tc>
        <w:tc>
          <w:tcPr>
            <w:tcW w:type="dxa" w:w="3200"/>
            <w:tcBorders>
              <w:top w:val="single" w:color="D9DED8" w:sz="1"/>
              <w:left w:val="single" w:color="D9DED8" w:sz="1"/>
              <w:bottom w:val="single" w:color="D9DED8" w:sz="1"/>
              <w:right w:val="single" w:color="D9DED8" w:sz="1"/>
            </w:tcBorders>
            <w:shd w:fill="F6F7F5" w:val="clear"/>
            <w:tcMar>
              <w:top w:type="dxa" w:w="80"/>
              <w:left w:type="dxa" w:w="120"/>
              <w:bottom w:type="dxa" w:w="80"/>
              <w:right w:type="dxa" w:w="120"/>
            </w:tcMar>
          </w:tcPr>
          <w:p>
            <w:pPr>
              <w:spacing w:after="0" w:line="264"/>
              <w:jc w:val="left"/>
            </w:pPr>
            <w:r>
              <w:rPr>
                <w:b w:val="false"/>
                <w:bCs w:val="false"/>
                <w:color w:val="0F1B16"/>
                <w:sz w:val="18"/>
                <w:szCs w:val="18"/>
              </w:rPr>
              <w:t xml:space="preserve">Infraestructura de Accesly</w:t>
            </w:r>
          </w:p>
        </w:tc>
        <w:tc>
          <w:tcPr>
            <w:tcW w:type="dxa" w:w="4060"/>
            <w:tcBorders>
              <w:top w:val="single" w:color="D9DED8" w:sz="1"/>
              <w:left w:val="single" w:color="D9DED8" w:sz="1"/>
              <w:bottom w:val="single" w:color="D9DED8" w:sz="1"/>
              <w:right w:val="single" w:color="D9DED8" w:sz="1"/>
            </w:tcBorders>
            <w:shd w:fill="F6F7F5" w:val="clear"/>
            <w:tcMar>
              <w:top w:type="dxa" w:w="80"/>
              <w:left w:type="dxa" w:w="120"/>
              <w:bottom w:type="dxa" w:w="80"/>
              <w:right w:type="dxa" w:w="120"/>
            </w:tcMar>
          </w:tcPr>
          <w:p>
            <w:pPr>
              <w:spacing w:after="0" w:line="264"/>
              <w:jc w:val="left"/>
            </w:pPr>
            <w:r>
              <w:rPr>
                <w:b w:val="false"/>
                <w:bCs w:val="false"/>
                <w:color w:val="0F1B16"/>
                <w:sz w:val="18"/>
                <w:szCs w:val="18"/>
              </w:rPr>
              <w:t xml:space="preserve">Cifrado en KMS (HSM). Solo se usa en combinación con otro fragmento autorizado.</w:t>
            </w:r>
          </w:p>
        </w:tc>
      </w:tr>
      <w:tr>
        <w:trPr>
          <w:tblHeader w:val="false"/>
        </w:trPr>
        <w:tc>
          <w:tcPr>
            <w:tcW w:type="dxa" w:w="210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3. Respaldo del usuario</w:t>
            </w:r>
          </w:p>
        </w:tc>
        <w:tc>
          <w:tcPr>
            <w:tcW w:type="dxa" w:w="320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Infraestructura de Accesly, cifrado con una clave derivada del teléfono del usuario</w:t>
            </w:r>
          </w:p>
        </w:tc>
        <w:tc>
          <w:tcPr>
            <w:tcW w:type="dxa" w:w="406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Solo la persona lo puede ver/usar tras un OTP a su teléfono. Sirve para recuperación.</w:t>
            </w:r>
          </w:p>
        </w:tc>
      </w:tr>
    </w:tbl>
    <w:p>
      <w:pPr>
        <w:spacing w:after="120" w:line="276"/>
      </w:pPr>
      <w:r>
        <w:t xml:space="preserve">Regla de no custodia: </w:t>
      </w:r>
      <w:r>
        <w:rPr>
          <w:b/>
          <w:bCs/>
        </w:rPr>
        <w:t xml:space="preserve">ninguna combinación de fragmentos en poder de Accesly (KMS + respaldo cifrado) basta para mover fondos sin la intervención del usuario</w:t>
      </w:r>
      <w:r>
        <w:t xml:space="preserve">. El fragmento del dispositivo (o el OTP del usuario) es siempre necesario. Así Accesly nunca puede firmar sola y no es custodio de facto.</w:t>
      </w:r>
    </w:p>
    <w:p>
      <w:pPr>
        <w:pStyle w:val="Heading2"/>
      </w:pPr>
      <w:r>
        <w:t xml:space="preserve">4.2 Recuperación (cambio de teléfono)</w:t>
      </w:r>
    </w:p>
    <w:p>
      <w:pPr>
        <w:pStyle w:val="ListParagraph"/>
        <w:numPr>
          <w:ilvl w:val="0"/>
          <w:numId w:val="3"/>
        </w:numPr>
        <w:spacing w:after="80" w:line="276"/>
      </w:pPr>
      <w:r>
        <w:t xml:space="preserve">El usuario instala el chat en el teléfono nuevo y prueba posesión del número (verificación del canal + OTP).</w:t>
      </w:r>
    </w:p>
    <w:p>
      <w:pPr>
        <w:pStyle w:val="ListParagraph"/>
        <w:numPr>
          <w:ilvl w:val="0"/>
          <w:numId w:val="3"/>
        </w:numPr>
        <w:spacing w:after="80" w:line="276"/>
      </w:pPr>
      <w:r>
        <w:t xml:space="preserve">El fragmento 3 (respaldo cifrado con el teléfono) se libera tras el OTP y viaja de forma segura al nuevo dispositivo.</w:t>
      </w:r>
    </w:p>
    <w:p>
      <w:pPr>
        <w:pStyle w:val="ListParagraph"/>
        <w:numPr>
          <w:ilvl w:val="0"/>
          <w:numId w:val="3"/>
        </w:numPr>
        <w:spacing w:after="80" w:line="276"/>
      </w:pPr>
      <w:r>
        <w:t xml:space="preserve">Se regenera el fragmento 1 en el Secure Enclave del nuevo teléfono y se re-fragmenta la llave (rotación), invalidando el set anterior.</w:t>
      </w:r>
    </w:p>
    <w:p>
      <w:pPr>
        <w:pStyle w:val="ListParagraph"/>
        <w:numPr>
          <w:ilvl w:val="0"/>
          <w:numId w:val="3"/>
        </w:numPr>
        <w:spacing w:after="80" w:line="276"/>
      </w:pPr>
      <w:r>
        <w:t xml:space="preserve">La wallet queda restaurada sin exponer nunca la llave completa en claro.</w:t>
      </w:r>
    </w:p>
    <w:p>
      <w:pPr>
        <w:pStyle w:val="Heading2"/>
      </w:pPr>
      <w:r>
        <w:t xml:space="preserve">4.3 Por qué esto baja la fricción</w:t>
      </w:r>
    </w:p>
    <w:p>
      <w:pPr>
        <w:pStyle w:val="ListParagraph"/>
        <w:numPr>
          <w:ilvl w:val="0"/>
          <w:numId w:val="2"/>
        </w:numPr>
        <w:spacing w:after="80" w:line="276"/>
      </w:pPr>
      <w:r>
        <w:t xml:space="preserve">Cero seed phrases: el usuario nunca ve ni guarda 12 palabras.</w:t>
      </w:r>
    </w:p>
    <w:p>
      <w:pPr>
        <w:pStyle w:val="ListParagraph"/>
        <w:numPr>
          <w:ilvl w:val="0"/>
          <w:numId w:val="2"/>
        </w:numPr>
        <w:spacing w:after="80" w:line="276"/>
      </w:pPr>
      <w:r>
        <w:t xml:space="preserve">Login = biometría: firmar un pago es un Face ID, no una operación cripto.</w:t>
      </w:r>
    </w:p>
    <w:p>
      <w:pPr>
        <w:pStyle w:val="ListParagraph"/>
        <w:numPr>
          <w:ilvl w:val="0"/>
          <w:numId w:val="2"/>
        </w:numPr>
        <w:spacing w:after="80" w:line="276"/>
      </w:pPr>
      <w:r>
        <w:t xml:space="preserve">Universal: el usuario no crea una wallet por negocio ni por red; reusa la misma identidad.</w:t>
      </w:r>
    </w:p>
    <w:p>
      <w:pPr>
        <w:pStyle w:val="Heading1"/>
      </w:pPr>
      <w:r>
        <w:t xml:space="preserve">5. El problema del gas (y cómo lo escondemos)</w:t>
      </w:r>
    </w:p>
    <w:p>
      <w:pPr>
        <w:spacing w:after="120" w:line="276"/>
      </w:pPr>
      <w:r>
        <w:t xml:space="preserve">Etherfuse </w:t>
      </w:r>
      <w:r>
        <w:rPr>
          <w:b/>
          <w:bCs/>
        </w:rPr>
        <w:t xml:space="preserve">aún no patrocina gas en Stellar</w:t>
      </w:r>
      <w:r>
        <w:t xml:space="preserve">, y cada cuenta Stellar necesita reservas mínimas (~1 XLM base + 0.5 XLM por trustline ≈ 1.5 XLM). Si el usuario tuviera que conseguir XLM, la magia de "paga normal" se rompería. Solución: </w:t>
      </w:r>
      <w:r>
        <w:rPr>
          <w:b/>
          <w:bCs/>
        </w:rPr>
        <w:t xml:space="preserve">Accesly patrocina el gas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D9DED8" w:sz="1"/>
              <w:left w:val="single" w:color="D9DED8" w:sz="1"/>
              <w:bottom w:val="single" w:color="D9DED8" w:sz="1"/>
              <w:right w:val="single" w:color="D9DED8" w:sz="1"/>
            </w:tcBorders>
            <w:shd w:fill="0F1B16" w:val="clear"/>
            <w:tcMar>
              <w:top w:type="dxa" w:w="80"/>
              <w:left w:type="dxa" w:w="120"/>
              <w:bottom w:type="dxa" w:w="80"/>
              <w:right w:type="dxa" w:w="120"/>
            </w:tcMar>
          </w:tcPr>
          <w:p>
            <w:pPr>
              <w:spacing w:after="0" w:line="264"/>
              <w:jc w:val="left"/>
            </w:pPr>
            <w:r>
              <w:rPr>
                <w:b/>
                <w:bCs/>
                <w:color w:val="FFFFFF"/>
                <w:sz w:val="19"/>
                <w:szCs w:val="19"/>
              </w:rPr>
              <w:t xml:space="preserve">Mecanismo</w:t>
            </w:r>
          </w:p>
        </w:tc>
        <w:tc>
          <w:tcPr>
            <w:tcW w:type="dxa" w:w="4360"/>
            <w:tcBorders>
              <w:top w:val="single" w:color="D9DED8" w:sz="1"/>
              <w:left w:val="single" w:color="D9DED8" w:sz="1"/>
              <w:bottom w:val="single" w:color="D9DED8" w:sz="1"/>
              <w:right w:val="single" w:color="D9DED8" w:sz="1"/>
            </w:tcBorders>
            <w:shd w:fill="0F1B16" w:val="clear"/>
            <w:tcMar>
              <w:top w:type="dxa" w:w="80"/>
              <w:left w:type="dxa" w:w="120"/>
              <w:bottom w:type="dxa" w:w="80"/>
              <w:right w:type="dxa" w:w="120"/>
            </w:tcMar>
          </w:tcPr>
          <w:p>
            <w:pPr>
              <w:spacing w:after="0" w:line="264"/>
              <w:jc w:val="left"/>
            </w:pPr>
            <w:r>
              <w:rPr>
                <w:b/>
                <w:bCs/>
                <w:color w:val="FFFFFF"/>
                <w:sz w:val="19"/>
                <w:szCs w:val="19"/>
              </w:rPr>
              <w:t xml:space="preserve">Cómo funciona</w:t>
            </w:r>
          </w:p>
        </w:tc>
        <w:tc>
          <w:tcPr>
            <w:tcW w:type="dxa" w:w="2800"/>
            <w:tcBorders>
              <w:top w:val="single" w:color="D9DED8" w:sz="1"/>
              <w:left w:val="single" w:color="D9DED8" w:sz="1"/>
              <w:bottom w:val="single" w:color="D9DED8" w:sz="1"/>
              <w:right w:val="single" w:color="D9DED8" w:sz="1"/>
            </w:tcBorders>
            <w:shd w:fill="0F1B16" w:val="clear"/>
            <w:tcMar>
              <w:top w:type="dxa" w:w="80"/>
              <w:left w:type="dxa" w:w="120"/>
              <w:bottom w:type="dxa" w:w="80"/>
              <w:right w:type="dxa" w:w="120"/>
            </w:tcMar>
          </w:tcPr>
          <w:p>
            <w:pPr>
              <w:spacing w:after="0" w:line="264"/>
              <w:jc w:val="left"/>
            </w:pPr>
            <w:r>
              <w:rPr>
                <w:b/>
                <w:bCs/>
                <w:color w:val="FFFFFF"/>
                <w:sz w:val="19"/>
                <w:szCs w:val="19"/>
              </w:rPr>
              <w:t xml:space="preserve">Efecto en fricción</w:t>
            </w:r>
          </w:p>
        </w:tc>
      </w:tr>
      <w:tr>
        <w:trPr>
          <w:tblHeader w:val="false"/>
        </w:trPr>
        <w:tc>
          <w:tcPr>
            <w:tcW w:type="dxa" w:w="220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Sponsored Reserves (Stellar)</w:t>
            </w:r>
          </w:p>
        </w:tc>
        <w:tc>
          <w:tcPr>
            <w:tcW w:type="dxa" w:w="436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Accesly usa sponsoring de reservas nativo de Stellar para cubrir la reserva base y la trustline de la wallet del usuario.</w:t>
            </w:r>
          </w:p>
        </w:tc>
        <w:tc>
          <w:tcPr>
            <w:tcW w:type="dxa" w:w="280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El usuario no necesita XLM para existir on-chain.</w:t>
            </w:r>
          </w:p>
        </w:tc>
      </w:tr>
      <w:tr>
        <w:trPr>
          <w:tblHeader w:val="false"/>
        </w:trPr>
        <w:tc>
          <w:tcPr>
            <w:tcW w:type="dxa" w:w="2200"/>
            <w:tcBorders>
              <w:top w:val="single" w:color="D9DED8" w:sz="1"/>
              <w:left w:val="single" w:color="D9DED8" w:sz="1"/>
              <w:bottom w:val="single" w:color="D9DED8" w:sz="1"/>
              <w:right w:val="single" w:color="D9DED8" w:sz="1"/>
            </w:tcBorders>
            <w:shd w:fill="F6F7F5" w:val="clear"/>
            <w:tcMar>
              <w:top w:type="dxa" w:w="80"/>
              <w:left w:type="dxa" w:w="120"/>
              <w:bottom w:type="dxa" w:w="80"/>
              <w:right w:type="dxa" w:w="120"/>
            </w:tcMar>
          </w:tcPr>
          <w:p>
            <w:pPr>
              <w:spacing w:after="0" w:line="264"/>
              <w:jc w:val="left"/>
            </w:pPr>
            <w:r>
              <w:rPr>
                <w:b w:val="false"/>
                <w:bCs w:val="false"/>
                <w:color w:val="0F1B16"/>
                <w:sz w:val="18"/>
                <w:szCs w:val="18"/>
              </w:rPr>
              <w:t xml:space="preserve">Fee-bump</w:t>
            </w:r>
          </w:p>
        </w:tc>
        <w:tc>
          <w:tcPr>
            <w:tcW w:type="dxa" w:w="4360"/>
            <w:tcBorders>
              <w:top w:val="single" w:color="D9DED8" w:sz="1"/>
              <w:left w:val="single" w:color="D9DED8" w:sz="1"/>
              <w:bottom w:val="single" w:color="D9DED8" w:sz="1"/>
              <w:right w:val="single" w:color="D9DED8" w:sz="1"/>
            </w:tcBorders>
            <w:shd w:fill="F6F7F5" w:val="clear"/>
            <w:tcMar>
              <w:top w:type="dxa" w:w="80"/>
              <w:left w:type="dxa" w:w="120"/>
              <w:bottom w:type="dxa" w:w="80"/>
              <w:right w:type="dxa" w:w="120"/>
            </w:tcMar>
          </w:tcPr>
          <w:p>
            <w:pPr>
              <w:spacing w:after="0" w:line="264"/>
              <w:jc w:val="left"/>
            </w:pPr>
            <w:r>
              <w:rPr>
                <w:b w:val="false"/>
                <w:bCs w:val="false"/>
                <w:color w:val="0F1B16"/>
                <w:sz w:val="18"/>
                <w:szCs w:val="18"/>
              </w:rPr>
              <w:t xml:space="preserve">Accesly envuelve la transacción del usuario en una fee-bump tx y paga la comisión de red (fracciones de centavo).</w:t>
            </w:r>
          </w:p>
        </w:tc>
        <w:tc>
          <w:tcPr>
            <w:tcW w:type="dxa" w:w="2800"/>
            <w:tcBorders>
              <w:top w:val="single" w:color="D9DED8" w:sz="1"/>
              <w:left w:val="single" w:color="D9DED8" w:sz="1"/>
              <w:bottom w:val="single" w:color="D9DED8" w:sz="1"/>
              <w:right w:val="single" w:color="D9DED8" w:sz="1"/>
            </w:tcBorders>
            <w:shd w:fill="F6F7F5" w:val="clear"/>
            <w:tcMar>
              <w:top w:type="dxa" w:w="80"/>
              <w:left w:type="dxa" w:w="120"/>
              <w:bottom w:type="dxa" w:w="80"/>
              <w:right w:type="dxa" w:w="120"/>
            </w:tcMar>
          </w:tcPr>
          <w:p>
            <w:pPr>
              <w:spacing w:after="0" w:line="264"/>
              <w:jc w:val="left"/>
            </w:pPr>
            <w:r>
              <w:rPr>
                <w:b w:val="false"/>
                <w:bCs w:val="false"/>
                <w:color w:val="0F1B16"/>
                <w:sz w:val="18"/>
                <w:szCs w:val="18"/>
              </w:rPr>
              <w:t xml:space="preserve">El usuario nunca paga ni ve el fee de red.</w:t>
            </w:r>
          </w:p>
        </w:tc>
      </w:tr>
      <w:tr>
        <w:trPr>
          <w:tblHeader w:val="false"/>
        </w:trPr>
        <w:tc>
          <w:tcPr>
            <w:tcW w:type="dxa" w:w="220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Pool de XLM operativo</w:t>
            </w:r>
          </w:p>
        </w:tc>
        <w:tc>
          <w:tcPr>
            <w:tcW w:type="dxa" w:w="436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Accesly mantiene un pool de XLM para sponsoring y fee-bumps, monitoreado y recargado automáticamente.</w:t>
            </w:r>
          </w:p>
        </w:tc>
        <w:tc>
          <w:tcPr>
            <w:tcW w:type="dxa" w:w="280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Onboarding y pagos no se bloquean por falta de gas.</w:t>
            </w:r>
          </w:p>
        </w:tc>
      </w:tr>
      <w:tr>
        <w:trPr>
          <w:tblHeader w:val="false"/>
        </w:trPr>
        <w:tc>
          <w:tcPr>
            <w:tcW w:type="dxa" w:w="2200"/>
            <w:tcBorders>
              <w:top w:val="single" w:color="D9DED8" w:sz="1"/>
              <w:left w:val="single" w:color="D9DED8" w:sz="1"/>
              <w:bottom w:val="single" w:color="D9DED8" w:sz="1"/>
              <w:right w:val="single" w:color="D9DED8" w:sz="1"/>
            </w:tcBorders>
            <w:shd w:fill="F6F7F5" w:val="clear"/>
            <w:tcMar>
              <w:top w:type="dxa" w:w="80"/>
              <w:left w:type="dxa" w:w="120"/>
              <w:bottom w:type="dxa" w:w="80"/>
              <w:right w:type="dxa" w:w="120"/>
            </w:tcMar>
          </w:tcPr>
          <w:p>
            <w:pPr>
              <w:spacing w:after="0" w:line="264"/>
              <w:jc w:val="left"/>
            </w:pPr>
            <w:r>
              <w:rPr>
                <w:b w:val="false"/>
                <w:bCs w:val="false"/>
                <w:color w:val="0F1B16"/>
                <w:sz w:val="18"/>
                <w:szCs w:val="18"/>
              </w:rPr>
              <w:t xml:space="preserve">Onramp = claimable balance</w:t>
            </w:r>
          </w:p>
        </w:tc>
        <w:tc>
          <w:tcPr>
            <w:tcW w:type="dxa" w:w="4360"/>
            <w:tcBorders>
              <w:top w:val="single" w:color="D9DED8" w:sz="1"/>
              <w:left w:val="single" w:color="D9DED8" w:sz="1"/>
              <w:bottom w:val="single" w:color="D9DED8" w:sz="1"/>
              <w:right w:val="single" w:color="D9DED8" w:sz="1"/>
            </w:tcBorders>
            <w:shd w:fill="F6F7F5" w:val="clear"/>
            <w:tcMar>
              <w:top w:type="dxa" w:w="80"/>
              <w:left w:type="dxa" w:w="120"/>
              <w:bottom w:type="dxa" w:w="80"/>
              <w:right w:type="dxa" w:w="120"/>
            </w:tcMar>
          </w:tcPr>
          <w:p>
            <w:pPr>
              <w:spacing w:after="0" w:line="264"/>
              <w:jc w:val="left"/>
            </w:pPr>
            <w:r>
              <w:rPr>
                <w:b w:val="false"/>
                <w:bCs w:val="false"/>
                <w:color w:val="0F1B16"/>
                <w:sz w:val="18"/>
                <w:szCs w:val="18"/>
              </w:rPr>
              <w:t xml:space="preserve">En el onramp, Etherfuse crea la cuenta y la trustline y entrega el token como claimable balance que el usuario reclama con su firma (biometría).</w:t>
            </w:r>
          </w:p>
        </w:tc>
        <w:tc>
          <w:tcPr>
            <w:tcW w:type="dxa" w:w="2800"/>
            <w:tcBorders>
              <w:top w:val="single" w:color="D9DED8" w:sz="1"/>
              <w:left w:val="single" w:color="D9DED8" w:sz="1"/>
              <w:bottom w:val="single" w:color="D9DED8" w:sz="1"/>
              <w:right w:val="single" w:color="D9DED8" w:sz="1"/>
            </w:tcBorders>
            <w:shd w:fill="F6F7F5" w:val="clear"/>
            <w:tcMar>
              <w:top w:type="dxa" w:w="80"/>
              <w:left w:type="dxa" w:w="120"/>
              <w:bottom w:type="dxa" w:w="80"/>
              <w:right w:type="dxa" w:w="120"/>
            </w:tcMar>
          </w:tcPr>
          <w:p>
            <w:pPr>
              <w:spacing w:after="0" w:line="264"/>
              <w:jc w:val="left"/>
            </w:pPr>
            <w:r>
              <w:rPr>
                <w:b w:val="false"/>
                <w:bCs w:val="false"/>
                <w:color w:val="0F1B16"/>
                <w:sz w:val="18"/>
                <w:szCs w:val="18"/>
              </w:rPr>
              <w:t xml:space="preserve">La primera entrada de fondos crea la wallet sin pasos técnicos visibles.</w:t>
            </w:r>
          </w:p>
        </w:tc>
      </w:tr>
    </w:tbl>
    <w:p>
      <w:pPr>
        <w:spacing w:after="120" w:line="276"/>
      </w:pPr>
      <w:r>
        <w:t xml:space="preserve">Nota: en offramp y swap la wallet ya debe tener XLM y trustline; el pre-fondeo por sponsoring de Accesly lo garantiza desde el onboarding. Las transacciones pre-construidas de Etherfuse </w:t>
      </w:r>
      <w:r>
        <w:rPr>
          <w:b/>
          <w:bCs/>
        </w:rPr>
        <w:t xml:space="preserve">expiran en ~1 a 2 minutos</w:t>
      </w:r>
      <w:r>
        <w:t xml:space="preserve">, así que el Core las regenera (regenerate_tx) y maneja reintentos por webhook.</w:t>
      </w:r>
    </w:p>
    <w:p>
      <w:pPr>
        <w:pStyle w:val="Heading1"/>
      </w:pPr>
      <w:r>
        <w:t xml:space="preserve">6. Flujos atómicos de pago (mínima fricción)</w:t>
      </w:r>
    </w:p>
    <w:p>
      <w:pPr>
        <w:spacing w:after="120" w:line="276"/>
      </w:pPr>
      <w:r>
        <w:t xml:space="preserve">Cada flujo se describe como una </w:t>
      </w:r>
      <w:r>
        <w:rPr>
          <w:b/>
          <w:bCs/>
        </w:rPr>
        <w:t xml:space="preserve">máquina de estados idempotente</w:t>
      </w:r>
      <w:r>
        <w:t xml:space="preserve">. La parte on-chain de Stellar es atómica por transacción; la orquestación multi-parte (canal → Core → Etherfuse → Stellar) se hace segura con claves de idempotencia, webhooks y reintentos, de modo que un cobro nunca se duplica ni queda "a medias" sin resolución.</w:t>
      </w:r>
    </w:p>
    <w:p>
      <w:pPr>
        <w:pStyle w:val="Heading2"/>
      </w:pPr>
      <w:r>
        <w:t xml:space="preserve">6.1 Onboarding del negocio (una vez)</w:t>
      </w:r>
    </w:p>
    <w:p>
      <w:pPr>
        <w:pStyle w:val="ListParagraph"/>
        <w:numPr>
          <w:ilvl w:val="0"/>
          <w:numId w:val="3"/>
        </w:numPr>
        <w:spacing w:after="80" w:line="276"/>
      </w:pPr>
      <w:r>
        <w:t xml:space="preserve">El negocio escribe "quiero cobrar". El Core crea un customer/child-org en Etherfuse (KYB) y dispara el alta de wallet.</w:t>
      </w:r>
    </w:p>
    <w:p>
      <w:pPr>
        <w:pStyle w:val="ListParagraph"/>
        <w:numPr>
          <w:ilvl w:val="0"/>
          <w:numId w:val="3"/>
        </w:numPr>
        <w:spacing w:after="80" w:line="276"/>
      </w:pPr>
      <w:r>
        <w:t xml:space="preserve">Passkey + biometría: se crea el fragmento del dispositivo y se fragmenta la llave (MPC 2-de-3).</w:t>
      </w:r>
    </w:p>
    <w:p>
      <w:pPr>
        <w:pStyle w:val="ListParagraph"/>
        <w:numPr>
          <w:ilvl w:val="0"/>
          <w:numId w:val="3"/>
        </w:numPr>
        <w:spacing w:after="80" w:line="276"/>
      </w:pPr>
      <w:r>
        <w:t xml:space="preserve">Accesly patrocina la reserva y la trustline de USDC de la wallet del negocio (sponsoring).</w:t>
      </w:r>
    </w:p>
    <w:p>
      <w:pPr>
        <w:pStyle w:val="ListParagraph"/>
        <w:numPr>
          <w:ilvl w:val="0"/>
          <w:numId w:val="3"/>
        </w:numPr>
        <w:spacing w:after="80" w:line="276"/>
      </w:pPr>
      <w:r>
        <w:t xml:space="preserve">El negocio conecta su CLABE/cuenta para retiros y define sus tipos de cobro. Queda listo.</w:t>
      </w:r>
    </w:p>
    <w:p>
      <w:pPr>
        <w:pStyle w:val="Heading2"/>
      </w:pPr>
      <w:r>
        <w:t xml:space="preserve">6.2 Cobro por servicio/producto (pago único, vista cliente)</w:t>
      </w:r>
    </w:p>
    <w:p>
      <w:pPr>
        <w:spacing w:after="120" w:line="276"/>
      </w:pPr>
      <w:r>
        <w:t xml:space="preserve">Este es el flujo del demo: "Nutri Ana te solicita $30". Atómico de extremo a extremo:</w:t>
      </w:r>
    </w:p>
    <w:p>
      <w:pPr>
        <w:pStyle w:val="ListParagraph"/>
        <w:numPr>
          <w:ilvl w:val="0"/>
          <w:numId w:val="3"/>
        </w:numPr>
        <w:spacing w:after="80" w:line="276"/>
      </w:pPr>
      <w:r>
        <w:t xml:space="preserve">El negocio (o su agente de IA) envía un mensaje interactivo de cobro al chat. El Core crea una intención de cobro con clave de idempotencia.</w:t>
      </w:r>
    </w:p>
    <w:p>
      <w:pPr>
        <w:pStyle w:val="ListParagraph"/>
        <w:numPr>
          <w:ilvl w:val="0"/>
          <w:numId w:val="3"/>
        </w:numPr>
        <w:spacing w:after="80" w:line="276"/>
      </w:pPr>
      <w:r>
        <w:t xml:space="preserve">El cliente toca "Pagar". Si es nuevo, su wallet se crea al vuelo (passkey + sponsoring); si ya existe, se reutiliza.</w:t>
      </w:r>
    </w:p>
    <w:p>
      <w:pPr>
        <w:pStyle w:val="ListParagraph"/>
        <w:numPr>
          <w:ilvl w:val="0"/>
          <w:numId w:val="3"/>
        </w:numPr>
        <w:spacing w:after="80" w:line="276"/>
      </w:pPr>
      <w:r>
        <w:t xml:space="preserve">Si el cliente no tiene saldo USDC, se dispara un </w:t>
      </w:r>
      <w:r>
        <w:rPr>
          <w:b/>
          <w:bCs/>
        </w:rPr>
        <w:t xml:space="preserve">onramp de Etherfuse</w:t>
      </w:r>
      <w:r>
        <w:t xml:space="preserve">: deposita pesos por SPEI a la CLABE de Etherfuse, que mintea USDC a la wallet del cliente (claimable balance).</w:t>
      </w:r>
    </w:p>
    <w:p>
      <w:pPr>
        <w:pStyle w:val="ListParagraph"/>
        <w:numPr>
          <w:ilvl w:val="0"/>
          <w:numId w:val="3"/>
        </w:numPr>
        <w:spacing w:after="80" w:line="276"/>
      </w:pPr>
      <w:r>
        <w:t xml:space="preserve">Pago on-chain </w:t>
      </w:r>
      <w:r>
        <w:rPr>
          <w:b/>
          <w:bCs/>
        </w:rPr>
        <w:t xml:space="preserve">atómico</w:t>
      </w:r>
      <w:r>
        <w:t xml:space="preserve">: una sola transacción Stellar transfiere USDC del cliente al negocio e incluye el split del partner fee de Accesly. O se confirma todo, o no se mueve nada.</w:t>
      </w:r>
    </w:p>
    <w:p>
      <w:pPr>
        <w:pStyle w:val="ListParagraph"/>
        <w:numPr>
          <w:ilvl w:val="0"/>
          <w:numId w:val="3"/>
        </w:numPr>
        <w:spacing w:after="80" w:line="276"/>
      </w:pPr>
      <w:r>
        <w:t xml:space="preserve">El Core marca "Pagado · Liquidado al instante", actualiza el saldo del negocio y notifica a ambos lados del chat.</w:t>
      </w:r>
    </w:p>
    <w:p>
      <w:pPr>
        <w:spacing w:after="120" w:line="276"/>
      </w:pPr>
      <w:r>
        <w:t xml:space="preserve">Fricción para el cliente: </w:t>
      </w:r>
      <w:r>
        <w:rPr>
          <w:b/>
          <w:bCs/>
        </w:rPr>
        <w:t xml:space="preserve">un toque + biometría</w:t>
      </w:r>
      <w:r>
        <w:t xml:space="preserve">. No ve cripto. El onramp solo aparece la primera vez o cuando hace falta saldo.</w:t>
      </w:r>
    </w:p>
    <w:p>
      <w:pPr>
        <w:pStyle w:val="Heading2"/>
      </w:pPr>
      <w:r>
        <w:t xml:space="preserve">6.3 Suscripción (cargo recurrente)</w:t>
      </w:r>
    </w:p>
    <w:p>
      <w:pPr>
        <w:pStyle w:val="ListParagraph"/>
        <w:numPr>
          <w:ilvl w:val="0"/>
          <w:numId w:val="3"/>
        </w:numPr>
        <w:spacing w:after="80" w:line="276"/>
      </w:pPr>
      <w:r>
        <w:t xml:space="preserve">El cliente autoriza una vez un mandato recurrente (monto fijo por ciclo), guardado contra su wallet.</w:t>
      </w:r>
    </w:p>
    <w:p>
      <w:pPr>
        <w:pStyle w:val="ListParagraph"/>
        <w:numPr>
          <w:ilvl w:val="0"/>
          <w:numId w:val="3"/>
        </w:numPr>
        <w:spacing w:after="80" w:line="276"/>
      </w:pPr>
      <w:r>
        <w:t xml:space="preserve">Cada ciclo, el Core dispara el cargo: si hay saldo en la wallet, se debita on-chain; si no, se hace onramp del monto del ciclo.</w:t>
      </w:r>
    </w:p>
    <w:p>
      <w:pPr>
        <w:pStyle w:val="ListParagraph"/>
        <w:numPr>
          <w:ilvl w:val="0"/>
          <w:numId w:val="3"/>
        </w:numPr>
        <w:spacing w:after="80" w:line="276"/>
      </w:pPr>
      <w:r>
        <w:t xml:space="preserve">Se liquida USDC al negocio menos el partner fee; se notifica "Renovado · al instante". Sin KYC nuevo.</w:t>
      </w:r>
    </w:p>
    <w:p>
      <w:pPr>
        <w:spacing w:after="120" w:line="276"/>
      </w:pPr>
      <w:r>
        <w:t xml:space="preserve">Nota de diseño: SPEI es </w:t>
      </w:r>
      <w:r>
        <w:rPr>
          <w:b/>
          <w:bCs/>
        </w:rPr>
        <w:t xml:space="preserve">push, no pull</w:t>
      </w:r>
      <w:r>
        <w:t xml:space="preserve">. El recurrente real se resuelve con uno de tres mecanismos: débito automático desde un saldo pre-fondeado en la wallet del cliente (preferido para fricción cero), domiciliación bancaria, o recordatorio de pago in-chat con un toque. El preferido es el saldo pre-fondeado.</w:t>
      </w:r>
    </w:p>
    <w:p>
      <w:pPr>
        <w:pStyle w:val="Heading2"/>
      </w:pPr>
      <w:r>
        <w:t xml:space="preserve">6.4 Pay-as-you-go (por uso, incluido el agente de IA)</w:t>
      </w:r>
    </w:p>
    <w:p>
      <w:pPr>
        <w:spacing w:after="120" w:line="276"/>
      </w:pPr>
      <w:r>
        <w:t xml:space="preserve">El cliente </w:t>
      </w:r>
      <w:r>
        <w:rPr>
          <w:b/>
          <w:bCs/>
        </w:rPr>
        <w:t xml:space="preserve">fondea un saldo una vez</w:t>
      </w:r>
      <w:r>
        <w:t xml:space="preserve"> y el consumo se descuenta por uso. Es lo que sostiene el cobro del agente de IA del demo.</w:t>
      </w:r>
    </w:p>
    <w:p>
      <w:pPr>
        <w:pStyle w:val="ListParagraph"/>
        <w:numPr>
          <w:ilvl w:val="0"/>
          <w:numId w:val="3"/>
        </w:numPr>
        <w:spacing w:after="80" w:line="276"/>
      </w:pPr>
      <w:r>
        <w:t xml:space="preserve">El cliente fondea su wallet (onramp una vez). El KYC ocurre aquí, una sola vez.</w:t>
      </w:r>
    </w:p>
    <w:p>
      <w:pPr>
        <w:pStyle w:val="ListParagraph"/>
        <w:numPr>
          <w:ilvl w:val="0"/>
          <w:numId w:val="3"/>
        </w:numPr>
        <w:spacing w:after="80" w:line="276"/>
      </w:pPr>
      <w:r>
        <w:t xml:space="preserve">El metering del Core cuenta el uso (respuestas del agente, llamadas, unidades). Cada unidad tiene un precio.</w:t>
      </w:r>
    </w:p>
    <w:p>
      <w:pPr>
        <w:pStyle w:val="ListParagraph"/>
        <w:numPr>
          <w:ilvl w:val="0"/>
          <w:numId w:val="3"/>
        </w:numPr>
        <w:spacing w:after="80" w:line="276"/>
      </w:pPr>
      <w:r>
        <w:t xml:space="preserve">Por uso, se debita micro-monto de la wallet del cliente al negocio, menos el partner fee. Para microtransacciones se usa </w:t>
      </w:r>
      <w:r>
        <w:rPr>
          <w:b/>
          <w:bCs/>
        </w:rPr>
        <w:t xml:space="preserve">agregación</w:t>
      </w:r>
      <w:r>
        <w:t xml:space="preserve">: se acumulan N usos y se liquidan en un solo asiento on-chain para minimizar fricción y costo.</w:t>
      </w:r>
    </w:p>
    <w:p>
      <w:pPr>
        <w:pStyle w:val="ListParagraph"/>
        <w:numPr>
          <w:ilvl w:val="0"/>
          <w:numId w:val="3"/>
        </w:numPr>
        <w:spacing w:after="80" w:line="276"/>
      </w:pPr>
      <w:r>
        <w:t xml:space="preserve">El saldo baja en vivo (como en el demo). No hay KYC ni firma por cada uso: la autorización se dio al fondear.</w:t>
      </w:r>
    </w:p>
    <w:p>
      <w:pPr>
        <w:spacing w:after="120" w:line="276"/>
      </w:pPr>
      <w:r>
        <w:t xml:space="preserve">Importante (regulatorio): el saldo pre-fondeado debe enmarcarse como </w:t>
      </w:r>
      <w:r>
        <w:rPr>
          <w:b/>
          <w:bCs/>
        </w:rPr>
        <w:t xml:space="preserve">fondos en autocustodia del cliente o créditos de servicio</w:t>
      </w:r>
      <w:r>
        <w:t xml:space="preserve">, nunca como un saldo monetario que Accesly guarde y reembolse, para no caer en dinero electrónico (licencia IFPE).</w:t>
      </w:r>
    </w:p>
    <w:p>
      <w:pPr>
        <w:pStyle w:val="Heading2"/>
      </w:pPr>
      <w:r>
        <w:t xml:space="preserve">6.5 Retiro del negocio (off-ramp)</w:t>
      </w:r>
    </w:p>
    <w:p>
      <w:pPr>
        <w:pStyle w:val="ListParagraph"/>
        <w:numPr>
          <w:ilvl w:val="0"/>
          <w:numId w:val="3"/>
        </w:numPr>
        <w:spacing w:after="80" w:line="276"/>
      </w:pPr>
      <w:r>
        <w:t xml:space="preserve">El negocio toca "Retirar". El Core crea una orden de offramp en Etherfuse desde la wallet del negocio (que ya tiene XLM + trustline).</w:t>
      </w:r>
    </w:p>
    <w:p>
      <w:pPr>
        <w:pStyle w:val="ListParagraph"/>
        <w:numPr>
          <w:ilvl w:val="0"/>
          <w:numId w:val="3"/>
        </w:numPr>
        <w:spacing w:after="80" w:line="276"/>
      </w:pPr>
      <w:r>
        <w:t xml:space="preserve">Etherfuse convierte USDC→MXN y paga por SPEI a la CLABE del negocio. El Core refleja el estado y notifica.</w:t>
      </w:r>
    </w:p>
    <w:p>
      <w:pPr>
        <w:pStyle w:val="Heading1"/>
      </w:pPr>
      <w:r>
        <w:t xml:space="preserve">7. Agentes de IA y herramientas</w:t>
      </w:r>
    </w:p>
    <w:p>
      <w:pPr>
        <w:spacing w:after="120" w:line="276"/>
      </w:pPr>
      <w:r>
        <w:t xml:space="preserve">El agente del demo atiende 24/7, responde, cobra y se conecta a herramientas. La infraestructura lo modela como un </w:t>
      </w:r>
      <w:r>
        <w:rPr>
          <w:b/>
          <w:bCs/>
        </w:rPr>
        <w:t xml:space="preserve">orquestador con metering y saldo de IA</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9DED8" w:sz="1"/>
              <w:left w:val="single" w:color="D9DED8" w:sz="1"/>
              <w:bottom w:val="single" w:color="D9DED8" w:sz="1"/>
              <w:right w:val="single" w:color="D9DED8" w:sz="1"/>
            </w:tcBorders>
            <w:shd w:fill="0F1B16" w:val="clear"/>
            <w:tcMar>
              <w:top w:type="dxa" w:w="80"/>
              <w:left w:type="dxa" w:w="120"/>
              <w:bottom w:type="dxa" w:w="80"/>
              <w:right w:type="dxa" w:w="120"/>
            </w:tcMar>
          </w:tcPr>
          <w:p>
            <w:pPr>
              <w:spacing w:after="0" w:line="264"/>
              <w:jc w:val="left"/>
            </w:pPr>
            <w:r>
              <w:rPr>
                <w:b/>
                <w:bCs/>
                <w:color w:val="FFFFFF"/>
                <w:sz w:val="19"/>
                <w:szCs w:val="19"/>
              </w:rPr>
              <w:t xml:space="preserve">Componente</w:t>
            </w:r>
          </w:p>
        </w:tc>
        <w:tc>
          <w:tcPr>
            <w:tcW w:type="dxa" w:w="6760"/>
            <w:tcBorders>
              <w:top w:val="single" w:color="D9DED8" w:sz="1"/>
              <w:left w:val="single" w:color="D9DED8" w:sz="1"/>
              <w:bottom w:val="single" w:color="D9DED8" w:sz="1"/>
              <w:right w:val="single" w:color="D9DED8" w:sz="1"/>
            </w:tcBorders>
            <w:shd w:fill="0F1B16" w:val="clear"/>
            <w:tcMar>
              <w:top w:type="dxa" w:w="80"/>
              <w:left w:type="dxa" w:w="120"/>
              <w:bottom w:type="dxa" w:w="80"/>
              <w:right w:type="dxa" w:w="120"/>
            </w:tcMar>
          </w:tcPr>
          <w:p>
            <w:pPr>
              <w:spacing w:after="0" w:line="264"/>
              <w:jc w:val="left"/>
            </w:pPr>
            <w:r>
              <w:rPr>
                <w:b/>
                <w:bCs/>
                <w:color w:val="FFFFFF"/>
                <w:sz w:val="19"/>
                <w:szCs w:val="19"/>
              </w:rPr>
              <w:t xml:space="preserve">Función</w:t>
            </w:r>
          </w:p>
        </w:tc>
      </w:tr>
      <w:tr>
        <w:trPr>
          <w:tblHeader w:val="false"/>
        </w:trPr>
        <w:tc>
          <w:tcPr>
            <w:tcW w:type="dxa" w:w="260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Orquestador de agente</w:t>
            </w:r>
          </w:p>
        </w:tc>
        <w:tc>
          <w:tcPr>
            <w:tcW w:type="dxa" w:w="676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Recibe el mensaje del cliente, aplica el prompt/tono/longitud configurados, decide si responde o si dispara una acción (cobrar, agendar, registrar).</w:t>
            </w:r>
          </w:p>
        </w:tc>
      </w:tr>
      <w:tr>
        <w:trPr>
          <w:tblHeader w:val="false"/>
        </w:trPr>
        <w:tc>
          <w:tcPr>
            <w:tcW w:type="dxa" w:w="2600"/>
            <w:tcBorders>
              <w:top w:val="single" w:color="D9DED8" w:sz="1"/>
              <w:left w:val="single" w:color="D9DED8" w:sz="1"/>
              <w:bottom w:val="single" w:color="D9DED8" w:sz="1"/>
              <w:right w:val="single" w:color="D9DED8" w:sz="1"/>
            </w:tcBorders>
            <w:shd w:fill="F6F7F5" w:val="clear"/>
            <w:tcMar>
              <w:top w:type="dxa" w:w="80"/>
              <w:left w:type="dxa" w:w="120"/>
              <w:bottom w:type="dxa" w:w="80"/>
              <w:right w:type="dxa" w:w="120"/>
            </w:tcMar>
          </w:tcPr>
          <w:p>
            <w:pPr>
              <w:spacing w:after="0" w:line="264"/>
              <w:jc w:val="left"/>
            </w:pPr>
            <w:r>
              <w:rPr>
                <w:b w:val="false"/>
                <w:bCs w:val="false"/>
                <w:color w:val="0F1B16"/>
                <w:sz w:val="18"/>
                <w:szCs w:val="18"/>
              </w:rPr>
              <w:t xml:space="preserve">Metering + saldo de IA</w:t>
            </w:r>
          </w:p>
        </w:tc>
        <w:tc>
          <w:tcPr>
            <w:tcW w:type="dxa" w:w="6760"/>
            <w:tcBorders>
              <w:top w:val="single" w:color="D9DED8" w:sz="1"/>
              <w:left w:val="single" w:color="D9DED8" w:sz="1"/>
              <w:bottom w:val="single" w:color="D9DED8" w:sz="1"/>
              <w:right w:val="single" w:color="D9DED8" w:sz="1"/>
            </w:tcBorders>
            <w:shd w:fill="F6F7F5" w:val="clear"/>
            <w:tcMar>
              <w:top w:type="dxa" w:w="80"/>
              <w:left w:type="dxa" w:w="120"/>
              <w:bottom w:type="dxa" w:w="80"/>
              <w:right w:type="dxa" w:w="120"/>
            </w:tcMar>
          </w:tcPr>
          <w:p>
            <w:pPr>
              <w:spacing w:after="0" w:line="264"/>
              <w:jc w:val="left"/>
            </w:pPr>
            <w:r>
              <w:rPr>
                <w:b w:val="false"/>
                <w:bCs w:val="false"/>
                <w:color w:val="0F1B16"/>
                <w:sz w:val="18"/>
                <w:szCs w:val="18"/>
              </w:rPr>
              <w:t xml:space="preserve">Cada respuesta consume saldo de IA (por ejemplo ~$0.02). El saldo se recarga; el agente se pausa si se agota. Esto es distinto del cobro al cliente final.</w:t>
            </w:r>
          </w:p>
        </w:tc>
      </w:tr>
      <w:tr>
        <w:trPr>
          <w:tblHeader w:val="false"/>
        </w:trPr>
        <w:tc>
          <w:tcPr>
            <w:tcW w:type="dxa" w:w="260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Disparo de cobro</w:t>
            </w:r>
          </w:p>
        </w:tc>
        <w:tc>
          <w:tcPr>
            <w:tcW w:type="dxa" w:w="676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Cuando el cliente expresa intención de pago, el agente envía el cobro al chat (atado al tipo de cobro habilitado: servicio, suscripción, uso).</w:t>
            </w:r>
          </w:p>
        </w:tc>
      </w:tr>
      <w:tr>
        <w:trPr>
          <w:tblHeader w:val="false"/>
        </w:trPr>
        <w:tc>
          <w:tcPr>
            <w:tcW w:type="dxa" w:w="2600"/>
            <w:tcBorders>
              <w:top w:val="single" w:color="D9DED8" w:sz="1"/>
              <w:left w:val="single" w:color="D9DED8" w:sz="1"/>
              <w:bottom w:val="single" w:color="D9DED8" w:sz="1"/>
              <w:right w:val="single" w:color="D9DED8" w:sz="1"/>
            </w:tcBorders>
            <w:shd w:fill="F6F7F5" w:val="clear"/>
            <w:tcMar>
              <w:top w:type="dxa" w:w="80"/>
              <w:left w:type="dxa" w:w="120"/>
              <w:bottom w:type="dxa" w:w="80"/>
              <w:right w:type="dxa" w:w="120"/>
            </w:tcMar>
          </w:tcPr>
          <w:p>
            <w:pPr>
              <w:spacing w:after="0" w:line="264"/>
              <w:jc w:val="left"/>
            </w:pPr>
            <w:r>
              <w:rPr>
                <w:b w:val="false"/>
                <w:bCs w:val="false"/>
                <w:color w:val="0F1B16"/>
                <w:sz w:val="18"/>
                <w:szCs w:val="18"/>
              </w:rPr>
              <w:t xml:space="preserve">Herramientas conectadas</w:t>
            </w:r>
          </w:p>
        </w:tc>
        <w:tc>
          <w:tcPr>
            <w:tcW w:type="dxa" w:w="6760"/>
            <w:tcBorders>
              <w:top w:val="single" w:color="D9DED8" w:sz="1"/>
              <w:left w:val="single" w:color="D9DED8" w:sz="1"/>
              <w:bottom w:val="single" w:color="D9DED8" w:sz="1"/>
              <w:right w:val="single" w:color="D9DED8" w:sz="1"/>
            </w:tcBorders>
            <w:shd w:fill="F6F7F5" w:val="clear"/>
            <w:tcMar>
              <w:top w:type="dxa" w:w="80"/>
              <w:left w:type="dxa" w:w="120"/>
              <w:bottom w:type="dxa" w:w="80"/>
              <w:right w:type="dxa" w:w="120"/>
            </w:tcMar>
          </w:tcPr>
          <w:p>
            <w:pPr>
              <w:spacing w:after="0" w:line="264"/>
              <w:jc w:val="left"/>
            </w:pPr>
            <w:r>
              <w:rPr>
                <w:b w:val="false"/>
                <w:bCs w:val="false"/>
                <w:color w:val="0F1B16"/>
                <w:sz w:val="18"/>
                <w:szCs w:val="18"/>
              </w:rPr>
              <w:t xml:space="preserve">Calendar (agendar), Gmail (resúmenes), Sheets (registrar ventas), Drive (compartir archivos). Cada una con su instrucción de cuándo y cómo usarse.</w:t>
            </w:r>
          </w:p>
        </w:tc>
      </w:tr>
    </w:tbl>
    <w:p>
      <w:pPr>
        <w:spacing w:after="120" w:line="276"/>
      </w:pPr>
      <w:r>
        <w:t xml:space="preserve">Separación clave: el </w:t>
      </w:r>
      <w:r>
        <w:rPr>
          <w:b/>
          <w:bCs/>
        </w:rPr>
        <w:t xml:space="preserve">saldo de IA</w:t>
      </w:r>
      <w:r>
        <w:t xml:space="preserve"> (lo que el negocio paga por operar su agente) y el </w:t>
      </w:r>
      <w:r>
        <w:rPr>
          <w:b/>
          <w:bCs/>
        </w:rPr>
        <w:t xml:space="preserve">cobro al cliente</w:t>
      </w:r>
      <w:r>
        <w:t xml:space="preserve"> (lo que el cliente paga por el servicio) son dos contadores distintos. No se mezclan.</w:t>
      </w:r>
    </w:p>
    <w:p>
      <w:pPr>
        <w:pStyle w:val="Heading1"/>
      </w:pPr>
      <w:r>
        <w:t xml:space="preserve">8. Comisión (partner fee) y no custodia del dinero</w:t>
      </w:r>
    </w:p>
    <w:p>
      <w:pPr>
        <w:spacing w:after="120" w:line="276"/>
      </w:pPr>
      <w:r>
        <w:t xml:space="preserve">Accesly cobra un </w:t>
      </w:r>
      <w:r>
        <w:rPr>
          <w:b/>
          <w:bCs/>
        </w:rPr>
        <w:t xml:space="preserve">partner fee</w:t>
      </w:r>
      <w:r>
        <w:t xml:space="preserve"> sobre cada liquidación. Hay dos formas de implementarlo, y conviene decidir explícitamente: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rPr>
          <w:tblHeader/>
        </w:trPr>
        <w:tc>
          <w:tcPr>
            <w:tcW w:type="dxa" w:w="2600"/>
            <w:tcBorders>
              <w:top w:val="single" w:color="D9DED8" w:sz="1"/>
              <w:left w:val="single" w:color="D9DED8" w:sz="1"/>
              <w:bottom w:val="single" w:color="D9DED8" w:sz="1"/>
              <w:right w:val="single" w:color="D9DED8" w:sz="1"/>
            </w:tcBorders>
            <w:shd w:fill="0F1B16" w:val="clear"/>
            <w:tcMar>
              <w:top w:type="dxa" w:w="80"/>
              <w:left w:type="dxa" w:w="120"/>
              <w:bottom w:type="dxa" w:w="80"/>
              <w:right w:type="dxa" w:w="120"/>
            </w:tcMar>
          </w:tcPr>
          <w:p>
            <w:pPr>
              <w:spacing w:after="0" w:line="264"/>
              <w:jc w:val="left"/>
            </w:pPr>
            <w:r>
              <w:rPr>
                <w:b/>
                <w:bCs/>
                <w:color w:val="FFFFFF"/>
                <w:sz w:val="19"/>
                <w:szCs w:val="19"/>
              </w:rPr>
              <w:t xml:space="preserve">Mecanismo</w:t>
            </w:r>
          </w:p>
        </w:tc>
        <w:tc>
          <w:tcPr>
            <w:tcW w:type="dxa" w:w="4100"/>
            <w:tcBorders>
              <w:top w:val="single" w:color="D9DED8" w:sz="1"/>
              <w:left w:val="single" w:color="D9DED8" w:sz="1"/>
              <w:bottom w:val="single" w:color="D9DED8" w:sz="1"/>
              <w:right w:val="single" w:color="D9DED8" w:sz="1"/>
            </w:tcBorders>
            <w:shd w:fill="0F1B16" w:val="clear"/>
            <w:tcMar>
              <w:top w:type="dxa" w:w="80"/>
              <w:left w:type="dxa" w:w="120"/>
              <w:bottom w:type="dxa" w:w="80"/>
              <w:right w:type="dxa" w:w="120"/>
            </w:tcMar>
          </w:tcPr>
          <w:p>
            <w:pPr>
              <w:spacing w:after="0" w:line="264"/>
              <w:jc w:val="left"/>
            </w:pPr>
            <w:r>
              <w:rPr>
                <w:b/>
                <w:bCs/>
                <w:color w:val="FFFFFF"/>
                <w:sz w:val="19"/>
                <w:szCs w:val="19"/>
              </w:rPr>
              <w:t xml:space="preserve">Cómo opera</w:t>
            </w:r>
          </w:p>
        </w:tc>
        <w:tc>
          <w:tcPr>
            <w:tcW w:type="dxa" w:w="2660"/>
            <w:tcBorders>
              <w:top w:val="single" w:color="D9DED8" w:sz="1"/>
              <w:left w:val="single" w:color="D9DED8" w:sz="1"/>
              <w:bottom w:val="single" w:color="D9DED8" w:sz="1"/>
              <w:right w:val="single" w:color="D9DED8" w:sz="1"/>
            </w:tcBorders>
            <w:shd w:fill="0F1B16" w:val="clear"/>
            <w:tcMar>
              <w:top w:type="dxa" w:w="80"/>
              <w:left w:type="dxa" w:w="120"/>
              <w:bottom w:type="dxa" w:w="80"/>
              <w:right w:type="dxa" w:w="120"/>
            </w:tcMar>
          </w:tcPr>
          <w:p>
            <w:pPr>
              <w:spacing w:after="0" w:line="264"/>
              <w:jc w:val="left"/>
            </w:pPr>
            <w:r>
              <w:rPr>
                <w:b/>
                <w:bCs/>
                <w:color w:val="FFFFFF"/>
                <w:sz w:val="19"/>
                <w:szCs w:val="19"/>
              </w:rPr>
              <w:t xml:space="preserve">Implicación</w:t>
            </w:r>
          </w:p>
        </w:tc>
      </w:tr>
      <w:tr>
        <w:trPr>
          <w:tblHeader w:val="false"/>
        </w:trPr>
        <w:tc>
          <w:tcPr>
            <w:tcW w:type="dxa" w:w="260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Split on-chain (preferido)</w:t>
            </w:r>
          </w:p>
        </w:tc>
        <w:tc>
          <w:tcPr>
            <w:tcW w:type="dxa" w:w="410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La transacción Stellar de pago divide el monto: neto al negocio + fee a la wallet de Accesly, en la misma tx atómica.</w:t>
            </w:r>
          </w:p>
        </w:tc>
        <w:tc>
          <w:tcPr>
            <w:tcW w:type="dxa" w:w="266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Accesly nunca toca el bruto; el fee es automático y verificable on-chain.</w:t>
            </w:r>
          </w:p>
        </w:tc>
      </w:tr>
      <w:tr>
        <w:trPr>
          <w:tblHeader w:val="false"/>
        </w:trPr>
        <w:tc>
          <w:tcPr>
            <w:tcW w:type="dxa" w:w="2600"/>
            <w:tcBorders>
              <w:top w:val="single" w:color="D9DED8" w:sz="1"/>
              <w:left w:val="single" w:color="D9DED8" w:sz="1"/>
              <w:bottom w:val="single" w:color="D9DED8" w:sz="1"/>
              <w:right w:val="single" w:color="D9DED8" w:sz="1"/>
            </w:tcBorders>
            <w:shd w:fill="F6F7F5" w:val="clear"/>
            <w:tcMar>
              <w:top w:type="dxa" w:w="80"/>
              <w:left w:type="dxa" w:w="120"/>
              <w:bottom w:type="dxa" w:w="80"/>
              <w:right w:type="dxa" w:w="120"/>
            </w:tcMar>
          </w:tcPr>
          <w:p>
            <w:pPr>
              <w:spacing w:after="0" w:line="264"/>
              <w:jc w:val="left"/>
            </w:pPr>
            <w:r>
              <w:rPr>
                <w:b w:val="false"/>
                <w:bCs w:val="false"/>
                <w:color w:val="0F1B16"/>
                <w:sz w:val="18"/>
                <w:szCs w:val="18"/>
              </w:rPr>
              <w:t xml:space="preserve">Partner fee de Etherfuse (offline)</w:t>
            </w:r>
          </w:p>
        </w:tc>
        <w:tc>
          <w:tcPr>
            <w:tcW w:type="dxa" w:w="4100"/>
            <w:tcBorders>
              <w:top w:val="single" w:color="D9DED8" w:sz="1"/>
              <w:left w:val="single" w:color="D9DED8" w:sz="1"/>
              <w:bottom w:val="single" w:color="D9DED8" w:sz="1"/>
              <w:right w:val="single" w:color="D9DED8" w:sz="1"/>
            </w:tcBorders>
            <w:shd w:fill="F6F7F5" w:val="clear"/>
            <w:tcMar>
              <w:top w:type="dxa" w:w="80"/>
              <w:left w:type="dxa" w:w="120"/>
              <w:bottom w:type="dxa" w:w="80"/>
              <w:right w:type="dxa" w:w="120"/>
            </w:tcMar>
          </w:tcPr>
          <w:p>
            <w:pPr>
              <w:spacing w:after="0" w:line="264"/>
              <w:jc w:val="left"/>
            </w:pPr>
            <w:r>
              <w:rPr>
                <w:b w:val="false"/>
                <w:bCs w:val="false"/>
                <w:color w:val="0F1B16"/>
                <w:sz w:val="18"/>
                <w:szCs w:val="18"/>
              </w:rPr>
              <w:t xml:space="preserve">Se usa partnerFeeBps de Etherfuse; el fee se concilia por finanzas, no on-chain.</w:t>
            </w:r>
          </w:p>
        </w:tc>
        <w:tc>
          <w:tcPr>
            <w:tcW w:type="dxa" w:w="2660"/>
            <w:tcBorders>
              <w:top w:val="single" w:color="D9DED8" w:sz="1"/>
              <w:left w:val="single" w:color="D9DED8" w:sz="1"/>
              <w:bottom w:val="single" w:color="D9DED8" w:sz="1"/>
              <w:right w:val="single" w:color="D9DED8" w:sz="1"/>
            </w:tcBorders>
            <w:shd w:fill="F6F7F5" w:val="clear"/>
            <w:tcMar>
              <w:top w:type="dxa" w:w="80"/>
              <w:left w:type="dxa" w:w="120"/>
              <w:bottom w:type="dxa" w:w="80"/>
              <w:right w:type="dxa" w:w="120"/>
            </w:tcMar>
          </w:tcPr>
          <w:p>
            <w:pPr>
              <w:spacing w:after="0" w:line="264"/>
              <w:jc w:val="left"/>
            </w:pPr>
            <w:r>
              <w:rPr>
                <w:b w:val="false"/>
                <w:bCs w:val="false"/>
                <w:color w:val="0F1B16"/>
                <w:sz w:val="18"/>
                <w:szCs w:val="18"/>
              </w:rPr>
              <w:t xml:space="preserve">Más simple de integrar, pero el cobro del fee es por fuera de la tx; conciliar mensualmente.</w:t>
            </w:r>
          </w:p>
        </w:tc>
      </w:tr>
    </w:tbl>
    <w:p>
      <w:pPr>
        <w:spacing w:after="120" w:line="276"/>
      </w:pPr>
      <w:r>
        <w:t xml:space="preserve">En ambos casos, </w:t>
      </w:r>
      <w:r>
        <w:rPr>
          <w:b/>
          <w:bCs/>
        </w:rPr>
        <w:t xml:space="preserve">Accesly no custodia el bruto</w:t>
      </w:r>
      <w:r>
        <w:t xml:space="preserve">. El dinero fluye del cliente al negocio (vía ramp + Stellar) y Accesly solo extrae su porcentaje.</w:t>
      </w:r>
    </w:p>
    <w:p>
      <w:pPr>
        <w:pStyle w:val="Heading1"/>
      </w:pPr>
      <w:r>
        <w:t xml:space="preserve">9. Datos, seguridad y cumplimiento</w:t>
      </w:r>
    </w:p>
    <w:p>
      <w:pPr>
        <w:pStyle w:val="ListParagraph"/>
        <w:numPr>
          <w:ilvl w:val="0"/>
          <w:numId w:val="2"/>
        </w:numPr>
        <w:spacing w:after="80" w:line="276"/>
      </w:pPr>
      <w:r>
        <w:rPr>
          <w:b/>
          <w:bCs/>
        </w:rPr>
        <w:t xml:space="preserve">Sujeto obligado: </w:t>
      </w:r>
      <w:r>
        <w:t xml:space="preserve">Etherfuse hace KYC/KYB y mueve el fiat; Accesly es capa de tecnología. Esto mantiene a Accesly fuera del perímetro regulatorio directo.</w:t>
      </w:r>
    </w:p>
    <w:p>
      <w:pPr>
        <w:pStyle w:val="ListParagraph"/>
        <w:numPr>
          <w:ilvl w:val="0"/>
          <w:numId w:val="2"/>
        </w:numPr>
        <w:spacing w:after="80" w:line="276"/>
      </w:pPr>
      <w:r>
        <w:rPr>
          <w:b/>
          <w:bCs/>
        </w:rPr>
        <w:t xml:space="preserve">Datos sensibles mínimos: </w:t>
      </w:r>
      <w:r>
        <w:t xml:space="preserve">Accesly no almacena datos de tarjeta ni de identidad bancaria del cliente final; los maneja el ramp regulado. Se reduce la carga (PCI, protección de datos).</w:t>
      </w:r>
    </w:p>
    <w:p>
      <w:pPr>
        <w:pStyle w:val="ListParagraph"/>
        <w:numPr>
          <w:ilvl w:val="0"/>
          <w:numId w:val="2"/>
        </w:numPr>
        <w:spacing w:after="80" w:line="276"/>
      </w:pPr>
      <w:r>
        <w:rPr>
          <w:b/>
          <w:bCs/>
        </w:rPr>
        <w:t xml:space="preserve">Llaves: </w:t>
      </w:r>
      <w:r>
        <w:t xml:space="preserve">nunca se reconstruye la llave completa en claro en el servidor; el quórum MPC exige al usuario. KMS/HSM para el fragmento de Accesly.</w:t>
      </w:r>
    </w:p>
    <w:p>
      <w:pPr>
        <w:pStyle w:val="ListParagraph"/>
        <w:numPr>
          <w:ilvl w:val="0"/>
          <w:numId w:val="2"/>
        </w:numPr>
        <w:spacing w:after="80" w:line="276"/>
      </w:pPr>
      <w:r>
        <w:rPr>
          <w:b/>
          <w:bCs/>
        </w:rPr>
        <w:t xml:space="preserve">Idempotencia y auditoría: </w:t>
      </w:r>
      <w:r>
        <w:t xml:space="preserve">cada cobro tiene una clave única y un ledger espejo (no custodia) para auditar estados sin reclamar propiedad del dinero.</w:t>
      </w:r>
    </w:p>
    <w:p>
      <w:pPr>
        <w:pStyle w:val="ListParagraph"/>
        <w:numPr>
          <w:ilvl w:val="0"/>
          <w:numId w:val="2"/>
        </w:numPr>
        <w:spacing w:after="80" w:line="276"/>
      </w:pPr>
      <w:r>
        <w:rPr>
          <w:b/>
          <w:bCs/>
        </w:rPr>
        <w:t xml:space="preserve">Saldo pre-fondeado: </w:t>
      </w:r>
      <w:r>
        <w:t xml:space="preserve">enmarcarlo como autocustodia/créditos de servicio para no caer en dinero electrónico (IFPE).</w:t>
      </w:r>
    </w:p>
    <w:p>
      <w:pPr>
        <w:pStyle w:val="ListParagraph"/>
        <w:numPr>
          <w:ilvl w:val="0"/>
          <w:numId w:val="2"/>
        </w:numPr>
        <w:spacing w:after="80" w:line="276"/>
      </w:pPr>
      <w:r>
        <w:rPr>
          <w:b/>
          <w:bCs/>
        </w:rPr>
        <w:t xml:space="preserve">Política de Meta: </w:t>
      </w:r>
      <w:r>
        <w:t xml:space="preserve">cripto invisible mitiga la regla de Meta de no promover cripto; el cliente ve fiat. Validar términos del canal antes de escalar.</w:t>
      </w:r>
    </w:p>
    <w:p>
      <w:pPr>
        <w:pStyle w:val="Heading1"/>
      </w:pPr>
      <w:r>
        <w:t xml:space="preserve">10. Stack técnico sugerido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60"/>
        <w:gridCol w:w="3700"/>
      </w:tblGrid>
      <w:tr>
        <w:trPr>
          <w:tblHeader/>
        </w:trPr>
        <w:tc>
          <w:tcPr>
            <w:tcW w:type="dxa" w:w="1900"/>
            <w:tcBorders>
              <w:top w:val="single" w:color="D9DED8" w:sz="1"/>
              <w:left w:val="single" w:color="D9DED8" w:sz="1"/>
              <w:bottom w:val="single" w:color="D9DED8" w:sz="1"/>
              <w:right w:val="single" w:color="D9DED8" w:sz="1"/>
            </w:tcBorders>
            <w:shd w:fill="0F1B16" w:val="clear"/>
            <w:tcMar>
              <w:top w:type="dxa" w:w="80"/>
              <w:left w:type="dxa" w:w="120"/>
              <w:bottom w:type="dxa" w:w="80"/>
              <w:right w:type="dxa" w:w="120"/>
            </w:tcMar>
          </w:tcPr>
          <w:p>
            <w:pPr>
              <w:spacing w:after="0" w:line="264"/>
              <w:jc w:val="left"/>
            </w:pPr>
            <w:r>
              <w:rPr>
                <w:b/>
                <w:bCs/>
                <w:color w:val="FFFFFF"/>
                <w:sz w:val="19"/>
                <w:szCs w:val="19"/>
              </w:rPr>
              <w:t xml:space="preserve">Área</w:t>
            </w:r>
          </w:p>
        </w:tc>
        <w:tc>
          <w:tcPr>
            <w:tcW w:type="dxa" w:w="3760"/>
            <w:tcBorders>
              <w:top w:val="single" w:color="D9DED8" w:sz="1"/>
              <w:left w:val="single" w:color="D9DED8" w:sz="1"/>
              <w:bottom w:val="single" w:color="D9DED8" w:sz="1"/>
              <w:right w:val="single" w:color="D9DED8" w:sz="1"/>
            </w:tcBorders>
            <w:shd w:fill="0F1B16" w:val="clear"/>
            <w:tcMar>
              <w:top w:type="dxa" w:w="80"/>
              <w:left w:type="dxa" w:w="120"/>
              <w:bottom w:type="dxa" w:w="80"/>
              <w:right w:type="dxa" w:w="120"/>
            </w:tcMar>
          </w:tcPr>
          <w:p>
            <w:pPr>
              <w:spacing w:after="0" w:line="264"/>
              <w:jc w:val="left"/>
            </w:pPr>
            <w:r>
              <w:rPr>
                <w:b/>
                <w:bCs/>
                <w:color w:val="FFFFFF"/>
                <w:sz w:val="19"/>
                <w:szCs w:val="19"/>
              </w:rPr>
              <w:t xml:space="preserve">Opción sugerida</w:t>
            </w:r>
          </w:p>
        </w:tc>
        <w:tc>
          <w:tcPr>
            <w:tcW w:type="dxa" w:w="3700"/>
            <w:tcBorders>
              <w:top w:val="single" w:color="D9DED8" w:sz="1"/>
              <w:left w:val="single" w:color="D9DED8" w:sz="1"/>
              <w:bottom w:val="single" w:color="D9DED8" w:sz="1"/>
              <w:right w:val="single" w:color="D9DED8" w:sz="1"/>
            </w:tcBorders>
            <w:shd w:fill="0F1B16" w:val="clear"/>
            <w:tcMar>
              <w:top w:type="dxa" w:w="80"/>
              <w:left w:type="dxa" w:w="120"/>
              <w:bottom w:type="dxa" w:w="80"/>
              <w:right w:type="dxa" w:w="120"/>
            </w:tcMar>
          </w:tcPr>
          <w:p>
            <w:pPr>
              <w:spacing w:after="0" w:line="264"/>
              <w:jc w:val="left"/>
            </w:pPr>
            <w:r>
              <w:rPr>
                <w:b/>
                <w:bCs/>
                <w:color w:val="FFFFFF"/>
                <w:sz w:val="19"/>
                <w:szCs w:val="19"/>
              </w:rPr>
              <w:t xml:space="preserve">Por qué</w:t>
            </w:r>
          </w:p>
        </w:tc>
      </w:tr>
      <w:tr>
        <w:trPr>
          <w:tblHeader w:val="false"/>
        </w:trPr>
        <w:tc>
          <w:tcPr>
            <w:tcW w:type="dxa" w:w="190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Blockchain</w:t>
            </w:r>
          </w:p>
        </w:tc>
        <w:tc>
          <w:tcPr>
            <w:tcW w:type="dxa" w:w="376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Stellar (USDC de Circle)</w:t>
            </w:r>
          </w:p>
        </w:tc>
        <w:tc>
          <w:tcPr>
            <w:tcW w:type="dxa" w:w="370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Liquidación en segundos, costo casi nulo, trustlines y sponsoring nativos.</w:t>
            </w:r>
          </w:p>
        </w:tc>
      </w:tr>
      <w:tr>
        <w:trPr>
          <w:tblHeader w:val="false"/>
        </w:trPr>
        <w:tc>
          <w:tcPr>
            <w:tcW w:type="dxa" w:w="1900"/>
            <w:tcBorders>
              <w:top w:val="single" w:color="D9DED8" w:sz="1"/>
              <w:left w:val="single" w:color="D9DED8" w:sz="1"/>
              <w:bottom w:val="single" w:color="D9DED8" w:sz="1"/>
              <w:right w:val="single" w:color="D9DED8" w:sz="1"/>
            </w:tcBorders>
            <w:shd w:fill="F6F7F5" w:val="clear"/>
            <w:tcMar>
              <w:top w:type="dxa" w:w="80"/>
              <w:left w:type="dxa" w:w="120"/>
              <w:bottom w:type="dxa" w:w="80"/>
              <w:right w:type="dxa" w:w="120"/>
            </w:tcMar>
          </w:tcPr>
          <w:p>
            <w:pPr>
              <w:spacing w:after="0" w:line="264"/>
              <w:jc w:val="left"/>
            </w:pPr>
            <w:r>
              <w:rPr>
                <w:b w:val="false"/>
                <w:bCs w:val="false"/>
                <w:color w:val="0F1B16"/>
                <w:sz w:val="18"/>
                <w:szCs w:val="18"/>
              </w:rPr>
              <w:t xml:space="preserve">On/off-ramp</w:t>
            </w:r>
          </w:p>
        </w:tc>
        <w:tc>
          <w:tcPr>
            <w:tcW w:type="dxa" w:w="3760"/>
            <w:tcBorders>
              <w:top w:val="single" w:color="D9DED8" w:sz="1"/>
              <w:left w:val="single" w:color="D9DED8" w:sz="1"/>
              <w:bottom w:val="single" w:color="D9DED8" w:sz="1"/>
              <w:right w:val="single" w:color="D9DED8" w:sz="1"/>
            </w:tcBorders>
            <w:shd w:fill="F6F7F5" w:val="clear"/>
            <w:tcMar>
              <w:top w:type="dxa" w:w="80"/>
              <w:left w:type="dxa" w:w="120"/>
              <w:bottom w:type="dxa" w:w="80"/>
              <w:right w:type="dxa" w:w="120"/>
            </w:tcMar>
          </w:tcPr>
          <w:p>
            <w:pPr>
              <w:spacing w:after="0" w:line="264"/>
              <w:jc w:val="left"/>
            </w:pPr>
            <w:r>
              <w:rPr>
                <w:b w:val="false"/>
                <w:bCs w:val="false"/>
                <w:color w:val="0F1B16"/>
                <w:sz w:val="18"/>
                <w:szCs w:val="18"/>
              </w:rPr>
              <w:t xml:space="preserve">Etherfuse FX API</w:t>
            </w:r>
          </w:p>
        </w:tc>
        <w:tc>
          <w:tcPr>
            <w:tcW w:type="dxa" w:w="3700"/>
            <w:tcBorders>
              <w:top w:val="single" w:color="D9DED8" w:sz="1"/>
              <w:left w:val="single" w:color="D9DED8" w:sz="1"/>
              <w:bottom w:val="single" w:color="D9DED8" w:sz="1"/>
              <w:right w:val="single" w:color="D9DED8" w:sz="1"/>
            </w:tcBorders>
            <w:shd w:fill="F6F7F5" w:val="clear"/>
            <w:tcMar>
              <w:top w:type="dxa" w:w="80"/>
              <w:left w:type="dxa" w:w="120"/>
              <w:bottom w:type="dxa" w:w="80"/>
              <w:right w:type="dxa" w:w="120"/>
            </w:tcMar>
          </w:tcPr>
          <w:p>
            <w:pPr>
              <w:spacing w:after="0" w:line="264"/>
              <w:jc w:val="left"/>
            </w:pPr>
            <w:r>
              <w:rPr>
                <w:b w:val="false"/>
                <w:bCs w:val="false"/>
                <w:color w:val="0F1B16"/>
                <w:sz w:val="18"/>
                <w:szCs w:val="18"/>
              </w:rPr>
              <w:t xml:space="preserve">Stellar nativo, CLABE de depósito SPEI, KYC/KYB, sujeto obligado.</w:t>
            </w:r>
          </w:p>
        </w:tc>
      </w:tr>
      <w:tr>
        <w:trPr>
          <w:tblHeader w:val="false"/>
        </w:trPr>
        <w:tc>
          <w:tcPr>
            <w:tcW w:type="dxa" w:w="190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Wallet / AA</w:t>
            </w:r>
          </w:p>
        </w:tc>
        <w:tc>
          <w:tcPr>
            <w:tcW w:type="dxa" w:w="376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WebAuthn (passkey) + MPC 2-de-3 + KMS/HSM</w:t>
            </w:r>
          </w:p>
        </w:tc>
        <w:tc>
          <w:tcPr>
            <w:tcW w:type="dxa" w:w="370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No custodia real, sin seed phrase, recuperación por teléfono.</w:t>
            </w:r>
          </w:p>
        </w:tc>
      </w:tr>
      <w:tr>
        <w:trPr>
          <w:tblHeader w:val="false"/>
        </w:trPr>
        <w:tc>
          <w:tcPr>
            <w:tcW w:type="dxa" w:w="1900"/>
            <w:tcBorders>
              <w:top w:val="single" w:color="D9DED8" w:sz="1"/>
              <w:left w:val="single" w:color="D9DED8" w:sz="1"/>
              <w:bottom w:val="single" w:color="D9DED8" w:sz="1"/>
              <w:right w:val="single" w:color="D9DED8" w:sz="1"/>
            </w:tcBorders>
            <w:shd w:fill="F6F7F5" w:val="clear"/>
            <w:tcMar>
              <w:top w:type="dxa" w:w="80"/>
              <w:left w:type="dxa" w:w="120"/>
              <w:bottom w:type="dxa" w:w="80"/>
              <w:right w:type="dxa" w:w="120"/>
            </w:tcMar>
          </w:tcPr>
          <w:p>
            <w:pPr>
              <w:spacing w:after="0" w:line="264"/>
              <w:jc w:val="left"/>
            </w:pPr>
            <w:r>
              <w:rPr>
                <w:b w:val="false"/>
                <w:bCs w:val="false"/>
                <w:color w:val="0F1B16"/>
                <w:sz w:val="18"/>
                <w:szCs w:val="18"/>
              </w:rPr>
              <w:t xml:space="preserve">Core / API</w:t>
            </w:r>
          </w:p>
        </w:tc>
        <w:tc>
          <w:tcPr>
            <w:tcW w:type="dxa" w:w="3760"/>
            <w:tcBorders>
              <w:top w:val="single" w:color="D9DED8" w:sz="1"/>
              <w:left w:val="single" w:color="D9DED8" w:sz="1"/>
              <w:bottom w:val="single" w:color="D9DED8" w:sz="1"/>
              <w:right w:val="single" w:color="D9DED8" w:sz="1"/>
            </w:tcBorders>
            <w:shd w:fill="F6F7F5" w:val="clear"/>
            <w:tcMar>
              <w:top w:type="dxa" w:w="80"/>
              <w:left w:type="dxa" w:w="120"/>
              <w:bottom w:type="dxa" w:w="80"/>
              <w:right w:type="dxa" w:w="120"/>
            </w:tcMar>
          </w:tcPr>
          <w:p>
            <w:pPr>
              <w:spacing w:after="0" w:line="264"/>
              <w:jc w:val="left"/>
            </w:pPr>
            <w:r>
              <w:rPr>
                <w:b w:val="false"/>
                <w:bCs w:val="false"/>
                <w:color w:val="0F1B16"/>
                <w:sz w:val="18"/>
                <w:szCs w:val="18"/>
              </w:rPr>
              <w:t xml:space="preserve">Servicio con cola de eventos, máquina de estados, webhooks idempotentes</w:t>
            </w:r>
          </w:p>
        </w:tc>
        <w:tc>
          <w:tcPr>
            <w:tcW w:type="dxa" w:w="3700"/>
            <w:tcBorders>
              <w:top w:val="single" w:color="D9DED8" w:sz="1"/>
              <w:left w:val="single" w:color="D9DED8" w:sz="1"/>
              <w:bottom w:val="single" w:color="D9DED8" w:sz="1"/>
              <w:right w:val="single" w:color="D9DED8" w:sz="1"/>
            </w:tcBorders>
            <w:shd w:fill="F6F7F5" w:val="clear"/>
            <w:tcMar>
              <w:top w:type="dxa" w:w="80"/>
              <w:left w:type="dxa" w:w="120"/>
              <w:bottom w:type="dxa" w:w="80"/>
              <w:right w:type="dxa" w:w="120"/>
            </w:tcMar>
          </w:tcPr>
          <w:p>
            <w:pPr>
              <w:spacing w:after="0" w:line="264"/>
              <w:jc w:val="left"/>
            </w:pPr>
            <w:r>
              <w:rPr>
                <w:b w:val="false"/>
                <w:bCs w:val="false"/>
                <w:color w:val="0F1B16"/>
                <w:sz w:val="18"/>
                <w:szCs w:val="18"/>
              </w:rPr>
              <w:t xml:space="preserve">Orquestación segura y reintentable de flujos multi-parte.</w:t>
            </w:r>
          </w:p>
        </w:tc>
      </w:tr>
      <w:tr>
        <w:trPr>
          <w:tblHeader w:val="false"/>
        </w:trPr>
        <w:tc>
          <w:tcPr>
            <w:tcW w:type="dxa" w:w="190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Canales</w:t>
            </w:r>
          </w:p>
        </w:tc>
        <w:tc>
          <w:tcPr>
            <w:tcW w:type="dxa" w:w="376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WhatsApp Cloud API / BSP, Telegram Bot API, Instagram Messaging</w:t>
            </w:r>
          </w:p>
        </w:tc>
        <w:tc>
          <w:tcPr>
            <w:tcW w:type="dxa" w:w="370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Mensajes interactivos de cobro; una identidad por teléfono.</w:t>
            </w:r>
          </w:p>
        </w:tc>
      </w:tr>
      <w:tr>
        <w:trPr>
          <w:tblHeader w:val="false"/>
        </w:trPr>
        <w:tc>
          <w:tcPr>
            <w:tcW w:type="dxa" w:w="1900"/>
            <w:tcBorders>
              <w:top w:val="single" w:color="D9DED8" w:sz="1"/>
              <w:left w:val="single" w:color="D9DED8" w:sz="1"/>
              <w:bottom w:val="single" w:color="D9DED8" w:sz="1"/>
              <w:right w:val="single" w:color="D9DED8" w:sz="1"/>
            </w:tcBorders>
            <w:shd w:fill="F6F7F5" w:val="clear"/>
            <w:tcMar>
              <w:top w:type="dxa" w:w="80"/>
              <w:left w:type="dxa" w:w="120"/>
              <w:bottom w:type="dxa" w:w="80"/>
              <w:right w:type="dxa" w:w="120"/>
            </w:tcMar>
          </w:tcPr>
          <w:p>
            <w:pPr>
              <w:spacing w:after="0" w:line="264"/>
              <w:jc w:val="left"/>
            </w:pPr>
            <w:r>
              <w:rPr>
                <w:b w:val="false"/>
                <w:bCs w:val="false"/>
                <w:color w:val="0F1B16"/>
                <w:sz w:val="18"/>
                <w:szCs w:val="18"/>
              </w:rPr>
              <w:t xml:space="preserve">IA</w:t>
            </w:r>
          </w:p>
        </w:tc>
        <w:tc>
          <w:tcPr>
            <w:tcW w:type="dxa" w:w="3760"/>
            <w:tcBorders>
              <w:top w:val="single" w:color="D9DED8" w:sz="1"/>
              <w:left w:val="single" w:color="D9DED8" w:sz="1"/>
              <w:bottom w:val="single" w:color="D9DED8" w:sz="1"/>
              <w:right w:val="single" w:color="D9DED8" w:sz="1"/>
            </w:tcBorders>
            <w:shd w:fill="F6F7F5" w:val="clear"/>
            <w:tcMar>
              <w:top w:type="dxa" w:w="80"/>
              <w:left w:type="dxa" w:w="120"/>
              <w:bottom w:type="dxa" w:w="80"/>
              <w:right w:type="dxa" w:w="120"/>
            </w:tcMar>
          </w:tcPr>
          <w:p>
            <w:pPr>
              <w:spacing w:after="0" w:line="264"/>
              <w:jc w:val="left"/>
            </w:pPr>
            <w:r>
              <w:rPr>
                <w:b w:val="false"/>
                <w:bCs w:val="false"/>
                <w:color w:val="0F1B16"/>
                <w:sz w:val="18"/>
                <w:szCs w:val="18"/>
              </w:rPr>
              <w:t xml:space="preserve">Orquestador de agente + metering + saldo de IA</w:t>
            </w:r>
          </w:p>
        </w:tc>
        <w:tc>
          <w:tcPr>
            <w:tcW w:type="dxa" w:w="3700"/>
            <w:tcBorders>
              <w:top w:val="single" w:color="D9DED8" w:sz="1"/>
              <w:left w:val="single" w:color="D9DED8" w:sz="1"/>
              <w:bottom w:val="single" w:color="D9DED8" w:sz="1"/>
              <w:right w:val="single" w:color="D9DED8" w:sz="1"/>
            </w:tcBorders>
            <w:shd w:fill="F6F7F5" w:val="clear"/>
            <w:tcMar>
              <w:top w:type="dxa" w:w="80"/>
              <w:left w:type="dxa" w:w="120"/>
              <w:bottom w:type="dxa" w:w="80"/>
              <w:right w:type="dxa" w:w="120"/>
            </w:tcMar>
          </w:tcPr>
          <w:p>
            <w:pPr>
              <w:spacing w:after="0" w:line="264"/>
              <w:jc w:val="left"/>
            </w:pPr>
            <w:r>
              <w:rPr>
                <w:b w:val="false"/>
                <w:bCs w:val="false"/>
                <w:color w:val="0F1B16"/>
                <w:sz w:val="18"/>
                <w:szCs w:val="18"/>
              </w:rPr>
              <w:t xml:space="preserve">Atención 24/7, cobro por uso, herramientas conectadas.</w:t>
            </w:r>
          </w:p>
        </w:tc>
      </w:tr>
      <w:tr>
        <w:trPr>
          <w:tblHeader w:val="false"/>
        </w:trPr>
        <w:tc>
          <w:tcPr>
            <w:tcW w:type="dxa" w:w="190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Observabilidad</w:t>
            </w:r>
          </w:p>
        </w:tc>
        <w:tc>
          <w:tcPr>
            <w:tcW w:type="dxa" w:w="376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Ledger espejo + monitoreo de pool de XLM + alertas de gas/ramp</w:t>
            </w:r>
          </w:p>
        </w:tc>
        <w:tc>
          <w:tcPr>
            <w:tcW w:type="dxa" w:w="370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Evitar bloqueos por gas o expiración de tx.</w:t>
            </w:r>
          </w:p>
        </w:tc>
      </w:tr>
    </w:tbl>
    <w:p>
      <w:pPr>
        <w:pStyle w:val="Heading1"/>
      </w:pPr>
      <w:r>
        <w:t xml:space="preserve">11. Riesgos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9DED8" w:sz="1"/>
              <w:left w:val="single" w:color="D9DED8" w:sz="1"/>
              <w:bottom w:val="single" w:color="D9DED8" w:sz="1"/>
              <w:right w:val="single" w:color="D9DED8" w:sz="1"/>
            </w:tcBorders>
            <w:shd w:fill="0F1B16" w:val="clear"/>
            <w:tcMar>
              <w:top w:type="dxa" w:w="80"/>
              <w:left w:type="dxa" w:w="120"/>
              <w:bottom w:type="dxa" w:w="80"/>
              <w:right w:type="dxa" w:w="120"/>
            </w:tcMar>
          </w:tcPr>
          <w:p>
            <w:pPr>
              <w:spacing w:after="0" w:line="264"/>
              <w:jc w:val="left"/>
            </w:pPr>
            <w:r>
              <w:rPr>
                <w:b/>
                <w:bCs/>
                <w:color w:val="FFFFFF"/>
                <w:sz w:val="19"/>
                <w:szCs w:val="19"/>
              </w:rPr>
              <w:t xml:space="preserve">Riesgo</w:t>
            </w:r>
          </w:p>
        </w:tc>
        <w:tc>
          <w:tcPr>
            <w:tcW w:type="dxa" w:w="5960"/>
            <w:tcBorders>
              <w:top w:val="single" w:color="D9DED8" w:sz="1"/>
              <w:left w:val="single" w:color="D9DED8" w:sz="1"/>
              <w:bottom w:val="single" w:color="D9DED8" w:sz="1"/>
              <w:right w:val="single" w:color="D9DED8" w:sz="1"/>
            </w:tcBorders>
            <w:shd w:fill="0F1B16" w:val="clear"/>
            <w:tcMar>
              <w:top w:type="dxa" w:w="80"/>
              <w:left w:type="dxa" w:w="120"/>
              <w:bottom w:type="dxa" w:w="80"/>
              <w:right w:type="dxa" w:w="120"/>
            </w:tcMar>
          </w:tcPr>
          <w:p>
            <w:pPr>
              <w:spacing w:after="0" w:line="264"/>
              <w:jc w:val="left"/>
            </w:pPr>
            <w:r>
              <w:rPr>
                <w:b/>
                <w:bCs/>
                <w:color w:val="FFFFFF"/>
                <w:sz w:val="19"/>
                <w:szCs w:val="19"/>
              </w:rPr>
              <w:t xml:space="preserve">Mitigación</w:t>
            </w:r>
          </w:p>
        </w:tc>
      </w:tr>
      <w:tr>
        <w:trPr>
          <w:tblHeader w:val="false"/>
        </w:trPr>
        <w:tc>
          <w:tcPr>
            <w:tcW w:type="dxa" w:w="340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Sin gas sponsorship en Stellar (Etherfuse)</w:t>
            </w:r>
          </w:p>
        </w:tc>
        <w:tc>
          <w:tcPr>
            <w:tcW w:type="dxa" w:w="596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Accesly patrocina reservas y fee-bumps con un pool de XLM monitoreado y auto-recargado.</w:t>
            </w:r>
          </w:p>
        </w:tc>
      </w:tr>
      <w:tr>
        <w:trPr>
          <w:tblHeader w:val="false"/>
        </w:trPr>
        <w:tc>
          <w:tcPr>
            <w:tcW w:type="dxa" w:w="3400"/>
            <w:tcBorders>
              <w:top w:val="single" w:color="D9DED8" w:sz="1"/>
              <w:left w:val="single" w:color="D9DED8" w:sz="1"/>
              <w:bottom w:val="single" w:color="D9DED8" w:sz="1"/>
              <w:right w:val="single" w:color="D9DED8" w:sz="1"/>
            </w:tcBorders>
            <w:shd w:fill="F6F7F5" w:val="clear"/>
            <w:tcMar>
              <w:top w:type="dxa" w:w="80"/>
              <w:left w:type="dxa" w:w="120"/>
              <w:bottom w:type="dxa" w:w="80"/>
              <w:right w:type="dxa" w:w="120"/>
            </w:tcMar>
          </w:tcPr>
          <w:p>
            <w:pPr>
              <w:spacing w:after="0" w:line="264"/>
              <w:jc w:val="left"/>
            </w:pPr>
            <w:r>
              <w:rPr>
                <w:b w:val="false"/>
                <w:bCs w:val="false"/>
                <w:color w:val="0F1B16"/>
                <w:sz w:val="18"/>
                <w:szCs w:val="18"/>
              </w:rPr>
              <w:t xml:space="preserve">Tx pre-construidas expiran (~1-2 min)</w:t>
            </w:r>
          </w:p>
        </w:tc>
        <w:tc>
          <w:tcPr>
            <w:tcW w:type="dxa" w:w="5960"/>
            <w:tcBorders>
              <w:top w:val="single" w:color="D9DED8" w:sz="1"/>
              <w:left w:val="single" w:color="D9DED8" w:sz="1"/>
              <w:bottom w:val="single" w:color="D9DED8" w:sz="1"/>
              <w:right w:val="single" w:color="D9DED8" w:sz="1"/>
            </w:tcBorders>
            <w:shd w:fill="F6F7F5" w:val="clear"/>
            <w:tcMar>
              <w:top w:type="dxa" w:w="80"/>
              <w:left w:type="dxa" w:w="120"/>
              <w:bottom w:type="dxa" w:w="80"/>
              <w:right w:type="dxa" w:w="120"/>
            </w:tcMar>
          </w:tcPr>
          <w:p>
            <w:pPr>
              <w:spacing w:after="0" w:line="264"/>
              <w:jc w:val="left"/>
            </w:pPr>
            <w:r>
              <w:rPr>
                <w:b w:val="false"/>
                <w:bCs w:val="false"/>
                <w:color w:val="0F1B16"/>
                <w:sz w:val="18"/>
                <w:szCs w:val="18"/>
              </w:rPr>
              <w:t xml:space="preserve">Regenerar (regenerate_tx) y manejar por webhook con reintentos idempotentes.</w:t>
            </w:r>
          </w:p>
        </w:tc>
      </w:tr>
      <w:tr>
        <w:trPr>
          <w:tblHeader w:val="false"/>
        </w:trPr>
        <w:tc>
          <w:tcPr>
            <w:tcW w:type="dxa" w:w="340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Cobertura del ramp limitada (hoy México/SPEI)</w:t>
            </w:r>
          </w:p>
        </w:tc>
        <w:tc>
          <w:tcPr>
            <w:tcW w:type="dxa" w:w="596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Empezar en México; expandir conforme Etherfuse abra corredores. Aislar el proveedor de ramp detrás de una interfaz para poder sumar otros.</w:t>
            </w:r>
          </w:p>
        </w:tc>
      </w:tr>
      <w:tr>
        <w:trPr>
          <w:tblHeader w:val="false"/>
        </w:trPr>
        <w:tc>
          <w:tcPr>
            <w:tcW w:type="dxa" w:w="3400"/>
            <w:tcBorders>
              <w:top w:val="single" w:color="D9DED8" w:sz="1"/>
              <w:left w:val="single" w:color="D9DED8" w:sz="1"/>
              <w:bottom w:val="single" w:color="D9DED8" w:sz="1"/>
              <w:right w:val="single" w:color="D9DED8" w:sz="1"/>
            </w:tcBorders>
            <w:shd w:fill="F6F7F5" w:val="clear"/>
            <w:tcMar>
              <w:top w:type="dxa" w:w="80"/>
              <w:left w:type="dxa" w:w="120"/>
              <w:bottom w:type="dxa" w:w="80"/>
              <w:right w:type="dxa" w:w="120"/>
            </w:tcMar>
          </w:tcPr>
          <w:p>
            <w:pPr>
              <w:spacing w:after="0" w:line="264"/>
              <w:jc w:val="left"/>
            </w:pPr>
            <w:r>
              <w:rPr>
                <w:b w:val="false"/>
                <w:bCs w:val="false"/>
                <w:color w:val="0F1B16"/>
                <w:sz w:val="18"/>
                <w:szCs w:val="18"/>
              </w:rPr>
              <w:t xml:space="preserve">Saldo pre-fondeado podría verse como dinero electrónico</w:t>
            </w:r>
          </w:p>
        </w:tc>
        <w:tc>
          <w:tcPr>
            <w:tcW w:type="dxa" w:w="5960"/>
            <w:tcBorders>
              <w:top w:val="single" w:color="D9DED8" w:sz="1"/>
              <w:left w:val="single" w:color="D9DED8" w:sz="1"/>
              <w:bottom w:val="single" w:color="D9DED8" w:sz="1"/>
              <w:right w:val="single" w:color="D9DED8" w:sz="1"/>
            </w:tcBorders>
            <w:shd w:fill="F6F7F5" w:val="clear"/>
            <w:tcMar>
              <w:top w:type="dxa" w:w="80"/>
              <w:left w:type="dxa" w:w="120"/>
              <w:bottom w:type="dxa" w:w="80"/>
              <w:right w:type="dxa" w:w="120"/>
            </w:tcMar>
          </w:tcPr>
          <w:p>
            <w:pPr>
              <w:spacing w:after="0" w:line="264"/>
              <w:jc w:val="left"/>
            </w:pPr>
            <w:r>
              <w:rPr>
                <w:b w:val="false"/>
                <w:bCs w:val="false"/>
                <w:color w:val="0F1B16"/>
                <w:sz w:val="18"/>
                <w:szCs w:val="18"/>
              </w:rPr>
              <w:t xml:space="preserve">Enmarcar como autocustodia/créditos de servicio; validar con abogado fintech.</w:t>
            </w:r>
          </w:p>
        </w:tc>
      </w:tr>
      <w:tr>
        <w:trPr>
          <w:tblHeader w:val="false"/>
        </w:trPr>
        <w:tc>
          <w:tcPr>
            <w:tcW w:type="dxa" w:w="340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Microtransacciones costosas si se liquidan una por una</w:t>
            </w:r>
          </w:p>
        </w:tc>
        <w:tc>
          <w:tcPr>
            <w:tcW w:type="dxa" w:w="596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Agregar N usos y liquidar en un solo asiento on-chain.</w:t>
            </w:r>
          </w:p>
        </w:tc>
      </w:tr>
      <w:tr>
        <w:trPr>
          <w:tblHeader w:val="false"/>
        </w:trPr>
        <w:tc>
          <w:tcPr>
            <w:tcW w:type="dxa" w:w="3400"/>
            <w:tcBorders>
              <w:top w:val="single" w:color="D9DED8" w:sz="1"/>
              <w:left w:val="single" w:color="D9DED8" w:sz="1"/>
              <w:bottom w:val="single" w:color="D9DED8" w:sz="1"/>
              <w:right w:val="single" w:color="D9DED8" w:sz="1"/>
            </w:tcBorders>
            <w:shd w:fill="F6F7F5" w:val="clear"/>
            <w:tcMar>
              <w:top w:type="dxa" w:w="80"/>
              <w:left w:type="dxa" w:w="120"/>
              <w:bottom w:type="dxa" w:w="80"/>
              <w:right w:type="dxa" w:w="120"/>
            </w:tcMar>
          </w:tcPr>
          <w:p>
            <w:pPr>
              <w:spacing w:after="0" w:line="264"/>
              <w:jc w:val="left"/>
            </w:pPr>
            <w:r>
              <w:rPr>
                <w:b w:val="false"/>
                <w:bCs w:val="false"/>
                <w:color w:val="0F1B16"/>
                <w:sz w:val="18"/>
                <w:szCs w:val="18"/>
              </w:rPr>
              <w:t xml:space="preserve">Dependencia de Etherfuse/Circle/Stellar</w:t>
            </w:r>
          </w:p>
        </w:tc>
        <w:tc>
          <w:tcPr>
            <w:tcW w:type="dxa" w:w="5960"/>
            <w:tcBorders>
              <w:top w:val="single" w:color="D9DED8" w:sz="1"/>
              <w:left w:val="single" w:color="D9DED8" w:sz="1"/>
              <w:bottom w:val="single" w:color="D9DED8" w:sz="1"/>
              <w:right w:val="single" w:color="D9DED8" w:sz="1"/>
            </w:tcBorders>
            <w:shd w:fill="F6F7F5" w:val="clear"/>
            <w:tcMar>
              <w:top w:type="dxa" w:w="80"/>
              <w:left w:type="dxa" w:w="120"/>
              <w:bottom w:type="dxa" w:w="80"/>
              <w:right w:type="dxa" w:w="120"/>
            </w:tcMar>
          </w:tcPr>
          <w:p>
            <w:pPr>
              <w:spacing w:after="0" w:line="264"/>
              <w:jc w:val="left"/>
            </w:pPr>
            <w:r>
              <w:rPr>
                <w:b w:val="false"/>
                <w:bCs w:val="false"/>
                <w:color w:val="0F1B16"/>
                <w:sz w:val="18"/>
                <w:szCs w:val="18"/>
              </w:rPr>
              <w:t xml:space="preserve">Interfaz de ramp desacoplada; monitoreo y planes de contingencia por proveedor.</w:t>
            </w:r>
          </w:p>
        </w:tc>
      </w:tr>
      <w:tr>
        <w:trPr>
          <w:tblHeader w:val="false"/>
        </w:trPr>
        <w:tc>
          <w:tcPr>
            <w:tcW w:type="dxa" w:w="340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Política de Meta sobre cripto</w:t>
            </w:r>
          </w:p>
        </w:tc>
        <w:tc>
          <w:tcPr>
            <w:tcW w:type="dxa" w:w="5960"/>
            <w:tcBorders>
              <w:top w:val="single" w:color="D9DED8" w:sz="1"/>
              <w:left w:val="single" w:color="D9DED8" w:sz="1"/>
              <w:bottom w:val="single" w:color="D9DED8" w:sz="1"/>
              <w:right w:val="single" w:color="D9DED8" w:sz="1"/>
            </w:tcBorders>
            <w:shd w:fill="FFFFFF" w:val="clear"/>
            <w:tcMar>
              <w:top w:type="dxa" w:w="80"/>
              <w:left w:type="dxa" w:w="120"/>
              <w:bottom w:type="dxa" w:w="80"/>
              <w:right w:type="dxa" w:w="120"/>
            </w:tcMar>
          </w:tcPr>
          <w:p>
            <w:pPr>
              <w:spacing w:after="0" w:line="264"/>
              <w:jc w:val="left"/>
            </w:pPr>
            <w:r>
              <w:rPr>
                <w:b w:val="false"/>
                <w:bCs w:val="false"/>
                <w:color w:val="0F1B16"/>
                <w:sz w:val="18"/>
                <w:szCs w:val="18"/>
              </w:rPr>
              <w:t xml:space="preserve">Mantener cripto invisible (fiat aparente); operar como herramienta de cobro de tarea específica.</w:t>
            </w:r>
          </w:p>
        </w:tc>
      </w:tr>
    </w:tbl>
    <w:p>
      <w:pPr>
        <w:pStyle w:val="Heading1"/>
      </w:pPr>
      <w:r>
        <w:t xml:space="preserve">12. En una frase</w:t>
      </w:r>
    </w:p>
    <w:p>
      <w:pPr>
        <w:spacing w:after="120" w:line="276"/>
      </w:pPr>
      <w:r>
        <w:rPr>
          <w:b/>
          <w:bCs/>
        </w:rPr>
        <w:t xml:space="preserve">Accesly = </w:t>
      </w:r>
      <w:r>
        <w:t xml:space="preserve">identidad por teléfono + wallet no custodial con passkey/MPC + gas patrocinado + ramp regulado de Etherfuse + liquidación atómica en USDC sobre Stellar, </w:t>
      </w:r>
      <w:r>
        <w:rPr>
          <w:b/>
          <w:bCs/>
        </w:rPr>
        <w:t xml:space="preserve">orquestados para que cualquier negocio cobre dentro del chat y el usuario nunca sepa que es blockchain.</w:t>
      </w:r>
    </w:p>
    <w:p>
      <w:pPr>
        <w:spacing w:after="200"/>
      </w:pPr>
      <w:r>
        <w:t xml:space="preserve"/>
      </w:r>
    </w:p>
    <w:p>
      <w:r>
        <w:rPr>
          <w:i/>
          <w:iCs/>
          <w:color w:val="6B766E"/>
          <w:sz w:val="18"/>
          <w:szCs w:val="18"/>
        </w:rPr>
        <w:t xml:space="preserve">Documento técnico interno. Las cifras y nombres de proveedores deben confirmarse antes de implementación.</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66E"/>
        <w:sz w:val="16"/>
        <w:szCs w:val="16"/>
      </w:rPr>
      <w:t xml:space="preserve">Página </w:t>
    </w:r>
    <w:r>
      <w:rPr>
        <w:color w:val="6B766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40"/>
      </w:tabs>
    </w:pPr>
    <w:r>
      <w:rPr>
        <w:b/>
        <w:bCs/>
        <w:color w:val="0F1B16"/>
        <w:sz w:val="18"/>
        <w:szCs w:val="18"/>
      </w:rPr>
      <w:t xml:space="preserve">accesly</w:t>
    </w:r>
    <w:r>
      <w:rPr>
        <w:color w:val="6B766E"/>
        <w:sz w:val="16"/>
        <w:szCs w:val="16"/>
      </w:rPr>
      <w:t xml:space="preserve">	Arquitectura técnica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8B5CF6"/>
      </w:rPr>
    </w:lvl>
    <w:lvl w:ilvl="1" w15:tentative="1">
      <w:start w:val="1"/>
      <w:numFmt w:val="bullet"/>
      <w:lvlText w:val="◦"/>
      <w:lvlJc w:val="left"/>
      <w:pPr>
        <w:ind w:left="880" w:hanging="260"/>
      </w:pPr>
      <w:rPr>
        <w:color w:val="6B766E"/>
      </w:rPr>
    </w:lvl>
  </w:abstractNum>
  <w:abstractNum w:abstractNumId="3" w15:restartNumberingAfterBreak="0">
    <w:multiLevelType w:val="hybridMultilevel"/>
    <w:lvl w:ilvl="0" w15:tentative="1">
      <w:start w:val="1"/>
      <w:numFmt w:val="decimal"/>
      <w:lvlText w:val="%1."/>
      <w:lvlJc w:val="left"/>
      <w:pPr>
        <w:ind w:left="460" w:hanging="320"/>
      </w:pPr>
      <w:rPr>
        <w:b/>
        <w:bCs/>
        <w:color w:val="0F1B1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B5CF6" w:sz="12" w:space="4"/>
      </w:pBdr>
      <w:spacing w:after="160" w:before="320"/>
      <w:outlineLvl w:val="0"/>
    </w:pPr>
    <w:rPr>
      <w:rFonts w:ascii="Arial" w:cs="Arial" w:eastAsia="Arial" w:hAnsi="Arial"/>
      <w:b/>
      <w:bCs/>
      <w:color w:val="0F1B16"/>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0F1B1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8B5CF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2026-06-15T02:42:55.272Z</dcterms:created>
  <dcterms:modified xsi:type="dcterms:W3CDTF">2026-06-15T02:42:55.285Z</dcterms:modified>
</cp:coreProperties>
</file>

<file path=docProps/custom.xml><?xml version="1.0" encoding="utf-8"?>
<Properties xmlns="http://schemas.openxmlformats.org/officeDocument/2006/custom-properties" xmlns:vt="http://schemas.openxmlformats.org/officeDocument/2006/docPropsVTypes"/>
</file>