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SUPERIOR COURT OF THE STATE OF CALIFORNIA</w:t>
      </w:r>
    </w:p>
    <w:p>
      <w:r>
        <w:t>FOR THE COUNTY OF LOS ANGELES</w:t>
      </w:r>
    </w:p>
    <w:p/>
    <w:p>
      <w:r>
        <w:t>MERIDIAN PACIFIC HOLDINGS, LLC,</w:t>
      </w:r>
    </w:p>
    <w:p>
      <w:r>
        <w:t xml:space="preserve">        Plaintiff,</w:t>
      </w:r>
    </w:p>
    <w:p/>
    <w:p>
      <w:r>
        <w:t xml:space="preserve">    v.</w:t>
      </w:r>
    </w:p>
    <w:p/>
    <w:p>
      <w:r>
        <w:t>GREYSTONE CONSTRUCTION, INC.; DEREK ASHWORTH,</w:t>
      </w:r>
    </w:p>
    <w:p>
      <w:r>
        <w:t>an individual; and DOES 1 through 20, inclusive,</w:t>
      </w:r>
    </w:p>
    <w:p>
      <w:r>
        <w:t xml:space="preserve">        Defendants.</w:t>
      </w:r>
    </w:p>
    <w:p/>
    <w:p>
      <w:r>
        <w:t>Case No. 24STCV18842</w:t>
      </w:r>
    </w:p>
    <w:p>
      <w:r>
        <w:t>Dept. 47</w:t>
      </w:r>
    </w:p>
    <w:p/>
    <w:p>
      <w:r>
        <w:t>NOTICE OF MOTION AND MOTION FOR SUMMARY JUDGMENT;</w:t>
      </w:r>
    </w:p>
    <w:p>
      <w:r>
        <w:t>MEMORANDUM OF POINTS AND AUTHORITIES IN SUPPORT THEREOF</w:t>
      </w:r>
    </w:p>
    <w:p/>
    <w:p>
      <w:r>
        <w:t>Date:    October 14, 2026</w:t>
      </w:r>
    </w:p>
    <w:p>
      <w:r>
        <w:t>Time:    8:30 a.m.</w:t>
      </w:r>
    </w:p>
    <w:p>
      <w:r>
        <w:t>Place:   Department 47</w:t>
      </w:r>
    </w:p>
    <w:p>
      <w:r>
        <w:t xml:space="preserve">         Stanley Mosk Courthouse</w:t>
      </w:r>
    </w:p>
    <w:p>
      <w:r>
        <w:t xml:space="preserve">         111 N. Hill Street</w:t>
      </w:r>
    </w:p>
    <w:p>
      <w:r>
        <w:t xml:space="preserve">         Los Angeles, CA 90012</w:t>
      </w:r>
    </w:p>
    <w:p/>
    <w:p>
      <w:r>
        <w:t>NOTICE OF MOTION AND MOTION</w:t>
      </w:r>
    </w:p>
    <w:p/>
    <w:p>
      <w:r>
        <w:t>TO ALL PARTIES AND THEIR ATTORNEYS OF RECORD:</w:t>
      </w:r>
    </w:p>
    <w:p/>
    <w:p>
      <w:r>
        <w:t>PLEASE TAKE NOTICE that on October 14, 2026, at 8:30 a.m., or as soon thereafter as the matter may be heard, in Department 47 of the Stanley Mosk Courthouse, 111 N. Hill Street, Los Angeles, California, Plaintiff Meridian Pacific Holdings, LLC ('Meridian') will move this Court for summary judgment in its favor and against Defendants Greystone Construction, Inc. ('Greystone'), Derek Ashworth ('Ashworth'), and Does 1 through 20 (collectively, 'Defendants').</w:t>
      </w:r>
    </w:p>
    <w:p/>
    <w:p>
      <w:r>
        <w:t>This motion is made pursuant to Code of Civil Procedure section 437c on the grounds that there is no triable issue as to any material fact and that Meridian is entitled to judgment as a matter of law on each and every cause of action asserted in the operative First Amended Complaint.</w:t>
      </w:r>
    </w:p>
    <w:p/>
    <w:p>
      <w:r>
        <w:t>This motion is based on this Notice of Motion and Motion, the Memorandum of Points and Authorities set forth below, the Separate Statement of Undisputed Material Facts filed concurrently herewith, the Declarations of Robert M. Halvorsen and Karen D. Whitfield filed concurrently herewith, the Request for Judicial Notice filed concurrently herewith, the complete files and records in this action, and on such oral and documentary evidence as may be presented at the hearing of this matter.</w:t>
      </w:r>
    </w:p>
    <w:p/>
    <w:p>
      <w:r>
        <w:t>MEMORANDUM OF POINTS AND AUTHORITIES</w:t>
      </w:r>
    </w:p>
    <w:p/>
    <w:p>
      <w:r>
        <w:t>I.  INTRODUCTION</w:t>
      </w:r>
    </w:p>
    <w:p/>
    <w:p>
      <w:r>
        <w:t>This action arises from Defendants' breach of a commercial construction contract and related fraudulent concealment of known structural defects in a mixed-use development project in the City of Santa Monica. The undisputed evidence establishes that Greystone Construction was retained to construct a 24,000-square-foot commercial building at 1450 Lincoln Boulevard, that Greystone and its principal Derek Ashworth knowingly substituted inferior subgrade materials in violation of the project specifications, and that this substitution caused the soil settlement and foundation cracking documented in the engineering report of Meridian's retained expert, Dr. Sandra Kwan, P.E.</w:t>
      </w:r>
    </w:p>
    <w:p/>
    <w:p>
      <w:r>
        <w:t>Defendants have not disputed the central facts. Instead, they advance a limitations defense and argue that Meridian lacks standing because it acquired the property after the construction was substantially complete. Both arguments fail as a matter of law. The limitations period was tolled by Defendants' fraudulent concealment through the date Meridian first discovered the defects, and the assignment of claims was validly executed as part of the purchase agreement.</w:t>
      </w:r>
    </w:p>
    <w:p/>
    <w:p>
      <w:r>
        <w:t>II.  STATEMENT OF UNDISPUTED MATERIAL FACTS</w:t>
      </w:r>
    </w:p>
    <w:p/>
    <w:p>
      <w:r>
        <w:t xml:space="preserve">    1.  On March 15, 2021, Defendants entered into a written Construction Agreement with Pacific Rim Development Group, Inc. ('PRDG') to construct a four-story mixed-use building at 1450 Lincoln Boulevard, Santa Monica, California. (Halvorsen Decl. ¶ 3; Ex. 1 [Construction Agreement].)</w:t>
      </w:r>
    </w:p>
    <w:p/>
    <w:p>
      <w:r>
        <w:t xml:space="preserve">    2.  The Construction Agreement incorporated by reference the Project Specifications prepared by structural engineer Marvin Okafor, P.E. of Okafor &amp; Dunning Structural Consultants. The Specifications required compacted Class II aggregate base material, minimum R-value 78, for all subgrade work beneath the foundation slab. (Halvorsen Decl. ¶ 4; Ex. 2 [Project Specifications, Section 02721].)</w:t>
      </w:r>
    </w:p>
    <w:p/>
    <w:p>
      <w:r>
        <w:t xml:space="preserve">    3.  During construction in the summer of 2021, Ashworth directed subcontractor Southwest Grading, LLC to substitute recycled Class III material, R-value 42, without disclosing the substitution to PRDG, the project architect, or the City building inspector. (Ashworth Depo. 87:14-25, 91:3-16; Whitfield Decl. ¶ 6.)</w:t>
      </w:r>
    </w:p>
    <w:p/>
    <w:p>
      <w:r>
        <w:t xml:space="preserve">    4.  Greystone submitted completion certificates to PRDG and the City of Santa Monica representing that all work was performed in conformance with the Project Specifications. Greystone received final payment of $2,187,000 on December 8, 2021. (Halvorsen Decl. ¶ 9; Ex. 5 [Completion Certificate]; Ex. 6 [Final Payment Record].)</w:t>
      </w:r>
    </w:p>
    <w:p/>
    <w:p>
      <w:r>
        <w:t xml:space="preserve">    5.  On February 28, 2022, Meridian Pacific Holdings, LLC purchased the property from PRDG for $18,500,000. The purchase agreement included an express assignment of all construction-related warranty and tort claims from PRDG to Meridian. (Halvorsen Decl. ¶ 11; Ex. 7 [Purchase Agreement, Section 14.3].)</w:t>
      </w:r>
    </w:p>
    <w:p/>
    <w:p>
      <w:r>
        <w:t xml:space="preserve">    6.  In November 2023, Meridian's tenant reported visible cracking in the ground-floor slab and settlement of the main entrance threshold. Meridian retained Dr. Sandra Kwan, P.E. of Pacific Geotechnical, Inc. to conduct a forensic investigation. Dr. Kwan's report, dated January 14, 2024, concluded that the subgrade materials were inconsistent with the Project Specifications and were the proximate cause of the observed settlement and cracking. (Kwan Expert Report, Jan. 14, 2024, pp. 18-22.)</w:t>
      </w:r>
    </w:p>
    <w:p/>
    <w:p>
      <w:r>
        <w:t xml:space="preserve">    7.  Dr. Kwan calculated remediation costs of $892,500 to remove and replace the deficient subgrade and repair the affected slab areas. Meridian also sustained lost rental income of $124,300 attributable to the partial closure of the ground-floor retail space during the investigation period. (Kwan Expert Report, pp. 26-28; Halvorsen Decl. ¶ 16.)</w:t>
      </w:r>
    </w:p>
    <w:p/>
    <w:p>
      <w:r>
        <w:t>III.  ARGUMENT</w:t>
      </w:r>
    </w:p>
    <w:p/>
    <w:p>
      <w:r>
        <w:t>A.  Summary Judgment Standard</w:t>
      </w:r>
    </w:p>
    <w:p/>
    <w:p>
      <w:r>
        <w:t>Summary judgment is proper where 'all the papers submitted show that there is no triable issue as to any material fact and that the moving party is entitled to a judgment as a matter of law.' (Code Civ. Proc., § 437c, subd. (c).) The moving party bears the initial burden of showing that one or more elements of the cause of action cannot be established or that there is a complete defense. (Aguilar v. Atlantic Richfield Co. (2001) 25 Cal.4th 826, 850.) Once met, the burden shifts to the opposing party to show a triable issue of material fact. (Id. at p. 850-851.)</w:t>
      </w:r>
    </w:p>
    <w:p/>
    <w:p>
      <w:r>
        <w:t>B.  Meridian Has Standing to Assert These Claims</w:t>
      </w:r>
    </w:p>
    <w:p/>
    <w:p>
      <w:r>
        <w:t>California law is clear that construction defect claims may be assigned as part of a real property sale. (See, e.g., County of Santa Clara v. Atlantic Richfield Co. (2006) 137 Cal.App.4th 292, 318; Coppola v. Smith (2015) 935 F.Supp.2d 1129, 1148 [applying Cal. law].)</w:t>
      </w:r>
    </w:p>
    <w:p/>
    <w:p>
      <w:r>
        <w:t>The Purchase Agreement between PRDG and Meridian expressly assigned 'all construction and design defect claims of every nature arising out of or related to the Property.' (Ex. 7, Section 14.3.) This language is broad enough to encompass both the breach of contract claim and the fraudulent concealment claim asserted here. Defendants cannot dispute the validity of the assignment — they have offered no evidence and cite no authority that would invalidate it.</w:t>
      </w:r>
    </w:p>
    <w:p/>
    <w:p>
      <w:r>
        <w:t>C.  The Statute of Limitations Was Tolled by Fraudulent Concealment</w:t>
      </w:r>
    </w:p>
    <w:p/>
    <w:p>
      <w:r>
        <w:t>Defendants argue that the three-year limitations period for fraud (Code Civ. Proc., § 338, subd. (d)) and the four-year period for breach of written contract (id., § 337) began to run at project completion in December 2021. This argument ignores the well-established rule that fraudulent concealment tolls the limitations period until the plaintiff discovers, or through reasonable diligence should have discovered, the cause of action. (Bernson v. Browning-Ferris Industries (1994) 7 Cal.4th 926, 931-932.)</w:t>
      </w:r>
    </w:p>
    <w:p/>
    <w:p>
      <w:r>
        <w:t>Here, Defendants actively concealed the subgrade substitution by submitting false completion certificates. Meridian had no reason to suspect defects until November 2023, when visible cracking first appeared. This action was filed on June 3, 2024, within months of the January 2024 expert report confirming the cause. Both limitations periods are satisfied.</w:t>
      </w:r>
    </w:p>
    <w:p/>
    <w:p>
      <w:r>
        <w:t>IV.  CONCLUSION</w:t>
      </w:r>
    </w:p>
    <w:p/>
    <w:p>
      <w:r>
        <w:t>The undisputed evidence establishes that Defendants breached the Construction Agreement and concealed the breach, causing Meridian damages of at least $1,016,800. Defendants' affirmative defenses fail as a matter of law. Meridian respectfully requests that the Court grant summary judgment in Meridian's favor on each cause of action and schedule a hearing on damages in accordance with Code of Civil Procedure section 437c, subdivision (f)(1).</w:t>
      </w:r>
    </w:p>
    <w:p/>
    <w:p>
      <w:r>
        <w:t>Dated: June 12, 2026</w:t>
      </w:r>
    </w:p>
    <w:p/>
    <w:p>
      <w:r>
        <w:t>Respectfully submitted,</w:t>
      </w:r>
    </w:p>
    <w:p/>
    <w:p/>
    <w:p>
      <w:r>
        <w:t>_________________________________</w:t>
      </w:r>
    </w:p>
    <w:p>
      <w:r>
        <w:t>ELENA R. VASQUEZ</w:t>
      </w:r>
    </w:p>
    <w:p>
      <w:r>
        <w:t>Attorney for Plaintiff</w:t>
      </w:r>
    </w:p>
    <w:p>
      <w:r>
        <w:t>MERIDIAN PACIFIC HOLDINGS,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